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91B7B" w14:textId="77777777" w:rsidR="00D0766B" w:rsidRDefault="008606F5" w:rsidP="008118FB">
      <w:pPr>
        <w:jc w:val="center"/>
        <w:rPr>
          <w:b/>
          <w:sz w:val="28"/>
          <w:szCs w:val="28"/>
          <w:lang w:val="en-GB"/>
        </w:rPr>
      </w:pPr>
      <w:r>
        <w:rPr>
          <w:b/>
          <w:sz w:val="28"/>
          <w:szCs w:val="28"/>
          <w:lang w:val="en-GB"/>
        </w:rPr>
        <w:t xml:space="preserve">Summary of all amendments </w:t>
      </w:r>
      <w:r w:rsidR="0084358D">
        <w:rPr>
          <w:b/>
          <w:sz w:val="28"/>
          <w:szCs w:val="28"/>
          <w:lang w:val="en-GB"/>
        </w:rPr>
        <w:t xml:space="preserve">to the </w:t>
      </w:r>
      <w:r w:rsidR="00E22632" w:rsidRPr="003E0810">
        <w:rPr>
          <w:b/>
          <w:sz w:val="28"/>
          <w:szCs w:val="28"/>
          <w:lang w:val="en-GB"/>
        </w:rPr>
        <w:t>T</w:t>
      </w:r>
      <w:r>
        <w:rPr>
          <w:b/>
          <w:sz w:val="28"/>
          <w:szCs w:val="28"/>
          <w:lang w:val="en-GB"/>
        </w:rPr>
        <w:t xml:space="preserve">oy </w:t>
      </w:r>
      <w:r w:rsidR="003A2E98">
        <w:rPr>
          <w:b/>
          <w:sz w:val="28"/>
          <w:szCs w:val="28"/>
          <w:lang w:val="en-GB"/>
        </w:rPr>
        <w:t>S</w:t>
      </w:r>
      <w:r>
        <w:rPr>
          <w:b/>
          <w:sz w:val="28"/>
          <w:szCs w:val="28"/>
          <w:lang w:val="en-GB"/>
        </w:rPr>
        <w:t xml:space="preserve">afety </w:t>
      </w:r>
      <w:r w:rsidR="00E22632" w:rsidRPr="003E0810">
        <w:rPr>
          <w:b/>
          <w:sz w:val="28"/>
          <w:szCs w:val="28"/>
          <w:lang w:val="en-GB"/>
        </w:rPr>
        <w:t>D</w:t>
      </w:r>
      <w:r>
        <w:rPr>
          <w:b/>
          <w:sz w:val="28"/>
          <w:szCs w:val="28"/>
          <w:lang w:val="en-GB"/>
        </w:rPr>
        <w:t>irective 2009/48/EC</w:t>
      </w:r>
      <w:r w:rsidR="00D0766B">
        <w:rPr>
          <w:b/>
          <w:sz w:val="28"/>
          <w:szCs w:val="28"/>
          <w:lang w:val="en-GB"/>
        </w:rPr>
        <w:t>:</w:t>
      </w:r>
    </w:p>
    <w:p w14:paraId="3D116AD5" w14:textId="3ED6BE23" w:rsidR="008118FB" w:rsidRPr="003E0810" w:rsidRDefault="00E22632" w:rsidP="008118FB">
      <w:pPr>
        <w:jc w:val="center"/>
        <w:rPr>
          <w:b/>
          <w:sz w:val="28"/>
          <w:szCs w:val="28"/>
          <w:lang w:val="en-GB"/>
        </w:rPr>
      </w:pPr>
      <w:r w:rsidRPr="003E0810">
        <w:rPr>
          <w:b/>
          <w:sz w:val="28"/>
          <w:szCs w:val="28"/>
          <w:lang w:val="en-GB"/>
        </w:rPr>
        <w:t xml:space="preserve"> </w:t>
      </w:r>
      <w:r w:rsidR="009F592B">
        <w:rPr>
          <w:b/>
          <w:sz w:val="28"/>
          <w:szCs w:val="28"/>
          <w:lang w:val="en-GB"/>
        </w:rPr>
        <w:t>Appendixes A</w:t>
      </w:r>
      <w:r w:rsidR="003A2CA0">
        <w:rPr>
          <w:b/>
          <w:sz w:val="28"/>
          <w:szCs w:val="28"/>
          <w:lang w:val="en-GB"/>
        </w:rPr>
        <w:t xml:space="preserve"> </w:t>
      </w:r>
      <w:r w:rsidR="005E41DE">
        <w:rPr>
          <w:b/>
          <w:sz w:val="28"/>
          <w:szCs w:val="28"/>
          <w:lang w:val="en-GB"/>
        </w:rPr>
        <w:t>&amp;</w:t>
      </w:r>
      <w:r w:rsidR="003A2CA0">
        <w:rPr>
          <w:b/>
          <w:sz w:val="28"/>
          <w:szCs w:val="28"/>
          <w:lang w:val="en-GB"/>
        </w:rPr>
        <w:t xml:space="preserve"> </w:t>
      </w:r>
      <w:r w:rsidR="005E41DE">
        <w:rPr>
          <w:b/>
          <w:sz w:val="28"/>
          <w:szCs w:val="28"/>
          <w:lang w:val="en-GB"/>
        </w:rPr>
        <w:t>C</w:t>
      </w:r>
      <w:r w:rsidR="00843272">
        <w:rPr>
          <w:b/>
          <w:sz w:val="28"/>
          <w:szCs w:val="28"/>
          <w:lang w:val="en-GB"/>
        </w:rPr>
        <w:t>,</w:t>
      </w:r>
      <w:r w:rsidR="005E41DE">
        <w:rPr>
          <w:b/>
          <w:sz w:val="28"/>
          <w:szCs w:val="28"/>
          <w:lang w:val="en-GB"/>
        </w:rPr>
        <w:t xml:space="preserve"> </w:t>
      </w:r>
      <w:r w:rsidRPr="003E0810">
        <w:rPr>
          <w:b/>
          <w:sz w:val="28"/>
          <w:szCs w:val="28"/>
          <w:lang w:val="en-GB"/>
        </w:rPr>
        <w:t xml:space="preserve">migration limits </w:t>
      </w:r>
      <w:r w:rsidR="00843272" w:rsidRPr="003E0810">
        <w:rPr>
          <w:b/>
          <w:sz w:val="28"/>
          <w:szCs w:val="28"/>
          <w:lang w:val="en-GB"/>
        </w:rPr>
        <w:t xml:space="preserve">and </w:t>
      </w:r>
      <w:r w:rsidR="00843272">
        <w:rPr>
          <w:b/>
          <w:sz w:val="28"/>
          <w:szCs w:val="28"/>
          <w:lang w:val="en-GB"/>
        </w:rPr>
        <w:t xml:space="preserve">other </w:t>
      </w:r>
      <w:r w:rsidRPr="003E0810">
        <w:rPr>
          <w:b/>
          <w:sz w:val="28"/>
          <w:szCs w:val="28"/>
          <w:lang w:val="en-GB"/>
        </w:rPr>
        <w:t xml:space="preserve">changes </w:t>
      </w:r>
    </w:p>
    <w:p w14:paraId="603C3BFA" w14:textId="5FE70015" w:rsidR="00093652" w:rsidRDefault="0084358D" w:rsidP="008118FB">
      <w:pPr>
        <w:jc w:val="center"/>
        <w:rPr>
          <w:b/>
          <w:color w:val="FF0000"/>
          <w:sz w:val="28"/>
          <w:szCs w:val="28"/>
          <w:lang w:val="en-GB"/>
        </w:rPr>
      </w:pPr>
      <w:r>
        <w:rPr>
          <w:b/>
          <w:sz w:val="28"/>
          <w:szCs w:val="28"/>
          <w:lang w:val="en-GB"/>
        </w:rPr>
        <w:t>July 2023</w:t>
      </w:r>
    </w:p>
    <w:tbl>
      <w:tblPr>
        <w:tblpPr w:leftFromText="180" w:rightFromText="180" w:vertAnchor="text" w:horzAnchor="margin" w:tblpY="-31"/>
        <w:tblW w:w="5000" w:type="pct"/>
        <w:tblCellMar>
          <w:left w:w="70" w:type="dxa"/>
          <w:right w:w="70" w:type="dxa"/>
        </w:tblCellMar>
        <w:tblLook w:val="04A0" w:firstRow="1" w:lastRow="0" w:firstColumn="1" w:lastColumn="0" w:noHBand="0" w:noVBand="1"/>
      </w:tblPr>
      <w:tblGrid>
        <w:gridCol w:w="694"/>
        <w:gridCol w:w="542"/>
        <w:gridCol w:w="551"/>
        <w:gridCol w:w="892"/>
        <w:gridCol w:w="634"/>
        <w:gridCol w:w="1198"/>
        <w:gridCol w:w="551"/>
        <w:gridCol w:w="1064"/>
        <w:gridCol w:w="565"/>
        <w:gridCol w:w="540"/>
        <w:gridCol w:w="1154"/>
        <w:gridCol w:w="958"/>
        <w:gridCol w:w="1127"/>
      </w:tblGrid>
      <w:tr w:rsidR="002F76CA" w:rsidRPr="003E0810" w14:paraId="7B2EAE78" w14:textId="77777777" w:rsidTr="002F76CA">
        <w:trPr>
          <w:trHeight w:val="300"/>
        </w:trPr>
        <w:tc>
          <w:tcPr>
            <w:tcW w:w="33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C3334CF" w14:textId="77777777" w:rsidR="002F76CA" w:rsidRPr="003E0810" w:rsidRDefault="002F76CA" w:rsidP="002F76CA">
            <w:pPr>
              <w:spacing w:after="0" w:line="240" w:lineRule="auto"/>
              <w:rPr>
                <w:rFonts w:ascii="Calibri" w:eastAsia="Times New Roman" w:hAnsi="Calibri" w:cs="Times New Roman"/>
                <w:color w:val="000000"/>
                <w:lang w:val="en-GB" w:eastAsia="fr-BE"/>
              </w:rPr>
            </w:pPr>
            <w:r w:rsidRPr="003E0810">
              <w:rPr>
                <w:rFonts w:ascii="Calibri" w:eastAsia="Times New Roman" w:hAnsi="Calibri" w:cs="Times New Roman"/>
                <w:color w:val="000000"/>
                <w:lang w:val="en-GB" w:eastAsia="fr-BE"/>
              </w:rPr>
              <w:t> </w:t>
            </w:r>
          </w:p>
        </w:tc>
        <w:tc>
          <w:tcPr>
            <w:tcW w:w="259" w:type="pct"/>
            <w:tcBorders>
              <w:top w:val="single" w:sz="8" w:space="0" w:color="auto"/>
              <w:left w:val="nil"/>
              <w:bottom w:val="single" w:sz="8" w:space="0" w:color="auto"/>
              <w:right w:val="single" w:sz="8" w:space="0" w:color="auto"/>
            </w:tcBorders>
            <w:shd w:val="clear" w:color="auto" w:fill="auto"/>
            <w:vAlign w:val="center"/>
            <w:hideMark/>
          </w:tcPr>
          <w:p w14:paraId="437DC2E3" w14:textId="77777777" w:rsidR="002F76CA" w:rsidRPr="003E0810" w:rsidRDefault="002F76CA" w:rsidP="002F76CA">
            <w:pPr>
              <w:spacing w:after="0" w:line="240" w:lineRule="auto"/>
              <w:jc w:val="center"/>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Jan</w:t>
            </w:r>
          </w:p>
        </w:tc>
        <w:tc>
          <w:tcPr>
            <w:tcW w:w="263" w:type="pct"/>
            <w:tcBorders>
              <w:top w:val="single" w:sz="8" w:space="0" w:color="auto"/>
              <w:left w:val="nil"/>
              <w:bottom w:val="single" w:sz="8" w:space="0" w:color="auto"/>
              <w:right w:val="single" w:sz="8" w:space="0" w:color="auto"/>
            </w:tcBorders>
            <w:shd w:val="clear" w:color="auto" w:fill="auto"/>
            <w:vAlign w:val="center"/>
            <w:hideMark/>
          </w:tcPr>
          <w:p w14:paraId="4AAA6890" w14:textId="77777777" w:rsidR="002F76CA" w:rsidRPr="003E0810" w:rsidRDefault="002F76CA" w:rsidP="002F76CA">
            <w:pPr>
              <w:spacing w:after="0" w:line="240" w:lineRule="auto"/>
              <w:jc w:val="center"/>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Feb</w:t>
            </w:r>
          </w:p>
        </w:tc>
        <w:tc>
          <w:tcPr>
            <w:tcW w:w="426" w:type="pct"/>
            <w:tcBorders>
              <w:top w:val="single" w:sz="8" w:space="0" w:color="auto"/>
              <w:left w:val="nil"/>
              <w:bottom w:val="single" w:sz="8" w:space="0" w:color="auto"/>
              <w:right w:val="single" w:sz="8" w:space="0" w:color="auto"/>
            </w:tcBorders>
            <w:shd w:val="clear" w:color="auto" w:fill="auto"/>
            <w:vAlign w:val="center"/>
            <w:hideMark/>
          </w:tcPr>
          <w:p w14:paraId="067A3DF3" w14:textId="77777777" w:rsidR="002F76CA" w:rsidRPr="003E0810" w:rsidRDefault="002F76CA" w:rsidP="002F76CA">
            <w:pPr>
              <w:spacing w:after="0" w:line="240" w:lineRule="auto"/>
              <w:jc w:val="center"/>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March</w:t>
            </w:r>
          </w:p>
        </w:tc>
        <w:tc>
          <w:tcPr>
            <w:tcW w:w="303" w:type="pct"/>
            <w:tcBorders>
              <w:top w:val="single" w:sz="8" w:space="0" w:color="auto"/>
              <w:left w:val="nil"/>
              <w:bottom w:val="single" w:sz="8" w:space="0" w:color="auto"/>
              <w:right w:val="single" w:sz="8" w:space="0" w:color="auto"/>
            </w:tcBorders>
            <w:shd w:val="clear" w:color="auto" w:fill="auto"/>
            <w:vAlign w:val="center"/>
            <w:hideMark/>
          </w:tcPr>
          <w:p w14:paraId="1AA73A64" w14:textId="77777777" w:rsidR="002F76CA" w:rsidRPr="003E0810" w:rsidRDefault="002F76CA" w:rsidP="002F76CA">
            <w:pPr>
              <w:spacing w:after="0" w:line="240" w:lineRule="auto"/>
              <w:jc w:val="center"/>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April</w:t>
            </w:r>
          </w:p>
        </w:tc>
        <w:tc>
          <w:tcPr>
            <w:tcW w:w="572" w:type="pct"/>
            <w:tcBorders>
              <w:top w:val="single" w:sz="8" w:space="0" w:color="auto"/>
              <w:left w:val="nil"/>
              <w:bottom w:val="single" w:sz="8" w:space="0" w:color="auto"/>
              <w:right w:val="single" w:sz="8" w:space="0" w:color="auto"/>
            </w:tcBorders>
            <w:shd w:val="clear" w:color="auto" w:fill="auto"/>
            <w:vAlign w:val="center"/>
            <w:hideMark/>
          </w:tcPr>
          <w:p w14:paraId="1C77E120" w14:textId="77777777" w:rsidR="002F76CA" w:rsidRPr="003E0810" w:rsidRDefault="002F76CA" w:rsidP="002F76CA">
            <w:pPr>
              <w:spacing w:after="0" w:line="240" w:lineRule="auto"/>
              <w:jc w:val="center"/>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May</w:t>
            </w:r>
          </w:p>
        </w:tc>
        <w:tc>
          <w:tcPr>
            <w:tcW w:w="263" w:type="pct"/>
            <w:tcBorders>
              <w:top w:val="single" w:sz="8" w:space="0" w:color="auto"/>
              <w:left w:val="nil"/>
              <w:bottom w:val="single" w:sz="8" w:space="0" w:color="auto"/>
              <w:right w:val="single" w:sz="8" w:space="0" w:color="auto"/>
            </w:tcBorders>
            <w:shd w:val="clear" w:color="auto" w:fill="auto"/>
            <w:vAlign w:val="center"/>
            <w:hideMark/>
          </w:tcPr>
          <w:p w14:paraId="3E045773" w14:textId="77777777" w:rsidR="002F76CA" w:rsidRPr="003E0810" w:rsidRDefault="002F76CA" w:rsidP="002F76CA">
            <w:pPr>
              <w:spacing w:after="0" w:line="240" w:lineRule="auto"/>
              <w:jc w:val="center"/>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June</w:t>
            </w:r>
          </w:p>
        </w:tc>
        <w:tc>
          <w:tcPr>
            <w:tcW w:w="508" w:type="pct"/>
            <w:tcBorders>
              <w:top w:val="single" w:sz="8" w:space="0" w:color="auto"/>
              <w:left w:val="nil"/>
              <w:bottom w:val="single" w:sz="8" w:space="0" w:color="auto"/>
              <w:right w:val="single" w:sz="8" w:space="0" w:color="auto"/>
            </w:tcBorders>
            <w:shd w:val="clear" w:color="auto" w:fill="auto"/>
            <w:vAlign w:val="center"/>
            <w:hideMark/>
          </w:tcPr>
          <w:p w14:paraId="479BB3EA" w14:textId="77777777" w:rsidR="002F76CA" w:rsidRPr="003E0810" w:rsidRDefault="002F76CA" w:rsidP="002F76CA">
            <w:pPr>
              <w:spacing w:after="0" w:line="240" w:lineRule="auto"/>
              <w:jc w:val="center"/>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July</w:t>
            </w:r>
          </w:p>
        </w:tc>
        <w:tc>
          <w:tcPr>
            <w:tcW w:w="270" w:type="pct"/>
            <w:tcBorders>
              <w:top w:val="single" w:sz="8" w:space="0" w:color="auto"/>
              <w:left w:val="nil"/>
              <w:bottom w:val="single" w:sz="8" w:space="0" w:color="auto"/>
              <w:right w:val="single" w:sz="8" w:space="0" w:color="auto"/>
            </w:tcBorders>
            <w:shd w:val="clear" w:color="auto" w:fill="auto"/>
            <w:vAlign w:val="center"/>
            <w:hideMark/>
          </w:tcPr>
          <w:p w14:paraId="3B51E961" w14:textId="77777777" w:rsidR="002F76CA" w:rsidRPr="003E0810" w:rsidRDefault="002F76CA" w:rsidP="002F76CA">
            <w:pPr>
              <w:spacing w:after="0" w:line="240" w:lineRule="auto"/>
              <w:jc w:val="center"/>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Aug</w:t>
            </w:r>
          </w:p>
        </w:tc>
        <w:tc>
          <w:tcPr>
            <w:tcW w:w="258" w:type="pct"/>
            <w:tcBorders>
              <w:top w:val="single" w:sz="8" w:space="0" w:color="auto"/>
              <w:left w:val="nil"/>
              <w:bottom w:val="single" w:sz="8" w:space="0" w:color="auto"/>
              <w:right w:val="single" w:sz="8" w:space="0" w:color="auto"/>
            </w:tcBorders>
            <w:shd w:val="clear" w:color="auto" w:fill="auto"/>
            <w:vAlign w:val="center"/>
            <w:hideMark/>
          </w:tcPr>
          <w:p w14:paraId="5073121E" w14:textId="77777777" w:rsidR="002F76CA" w:rsidRPr="003E0810" w:rsidRDefault="002F76CA" w:rsidP="002F76CA">
            <w:pPr>
              <w:spacing w:after="0" w:line="240" w:lineRule="auto"/>
              <w:jc w:val="center"/>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Sept</w:t>
            </w:r>
          </w:p>
        </w:tc>
        <w:tc>
          <w:tcPr>
            <w:tcW w:w="551" w:type="pct"/>
            <w:tcBorders>
              <w:top w:val="single" w:sz="8" w:space="0" w:color="auto"/>
              <w:left w:val="nil"/>
              <w:bottom w:val="single" w:sz="8" w:space="0" w:color="auto"/>
              <w:right w:val="single" w:sz="8" w:space="0" w:color="auto"/>
            </w:tcBorders>
            <w:shd w:val="clear" w:color="auto" w:fill="auto"/>
            <w:vAlign w:val="center"/>
            <w:hideMark/>
          </w:tcPr>
          <w:p w14:paraId="698AE79B" w14:textId="77777777" w:rsidR="002F76CA" w:rsidRPr="003E0810" w:rsidRDefault="002F76CA" w:rsidP="002F76CA">
            <w:pPr>
              <w:spacing w:after="0" w:line="240" w:lineRule="auto"/>
              <w:jc w:val="center"/>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Oct</w:t>
            </w:r>
          </w:p>
        </w:tc>
        <w:tc>
          <w:tcPr>
            <w:tcW w:w="457" w:type="pct"/>
            <w:tcBorders>
              <w:top w:val="single" w:sz="8" w:space="0" w:color="auto"/>
              <w:left w:val="nil"/>
              <w:bottom w:val="single" w:sz="8" w:space="0" w:color="auto"/>
              <w:right w:val="single" w:sz="8" w:space="0" w:color="auto"/>
            </w:tcBorders>
            <w:shd w:val="clear" w:color="auto" w:fill="auto"/>
            <w:vAlign w:val="center"/>
            <w:hideMark/>
          </w:tcPr>
          <w:p w14:paraId="10E415EE" w14:textId="77777777" w:rsidR="002F76CA" w:rsidRPr="003E0810" w:rsidRDefault="002F76CA" w:rsidP="002F76CA">
            <w:pPr>
              <w:spacing w:after="0" w:line="240" w:lineRule="auto"/>
              <w:jc w:val="center"/>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Nov</w:t>
            </w:r>
          </w:p>
        </w:tc>
        <w:tc>
          <w:tcPr>
            <w:tcW w:w="538" w:type="pct"/>
            <w:tcBorders>
              <w:top w:val="single" w:sz="8" w:space="0" w:color="auto"/>
              <w:left w:val="nil"/>
              <w:bottom w:val="single" w:sz="8" w:space="0" w:color="auto"/>
              <w:right w:val="single" w:sz="8" w:space="0" w:color="auto"/>
            </w:tcBorders>
            <w:shd w:val="clear" w:color="auto" w:fill="auto"/>
            <w:vAlign w:val="center"/>
            <w:hideMark/>
          </w:tcPr>
          <w:p w14:paraId="1929FF2A" w14:textId="77777777" w:rsidR="002F76CA" w:rsidRPr="003E0810" w:rsidRDefault="002F76CA" w:rsidP="002F76CA">
            <w:pPr>
              <w:spacing w:after="0" w:line="240" w:lineRule="auto"/>
              <w:jc w:val="center"/>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Dec</w:t>
            </w:r>
          </w:p>
        </w:tc>
      </w:tr>
      <w:tr w:rsidR="002F76CA" w:rsidRPr="003E0810" w14:paraId="684D3E9D" w14:textId="77777777" w:rsidTr="002F76CA">
        <w:trPr>
          <w:trHeight w:val="288"/>
        </w:trPr>
        <w:tc>
          <w:tcPr>
            <w:tcW w:w="331" w:type="pct"/>
            <w:vMerge w:val="restart"/>
            <w:tcBorders>
              <w:top w:val="nil"/>
              <w:left w:val="single" w:sz="8" w:space="0" w:color="auto"/>
              <w:bottom w:val="single" w:sz="8" w:space="0" w:color="000000"/>
              <w:right w:val="single" w:sz="8" w:space="0" w:color="auto"/>
            </w:tcBorders>
            <w:shd w:val="clear" w:color="auto" w:fill="auto"/>
            <w:vAlign w:val="center"/>
            <w:hideMark/>
          </w:tcPr>
          <w:p w14:paraId="48E824FC" w14:textId="77777777" w:rsidR="002F76CA" w:rsidRPr="003E0810" w:rsidRDefault="002F76CA" w:rsidP="002F76CA">
            <w:pPr>
              <w:spacing w:after="0" w:line="240" w:lineRule="auto"/>
              <w:jc w:val="center"/>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2013</w:t>
            </w:r>
          </w:p>
        </w:tc>
        <w:tc>
          <w:tcPr>
            <w:tcW w:w="259" w:type="pct"/>
            <w:vMerge w:val="restart"/>
            <w:tcBorders>
              <w:top w:val="nil"/>
              <w:left w:val="single" w:sz="8" w:space="0" w:color="auto"/>
              <w:bottom w:val="single" w:sz="8" w:space="0" w:color="000000"/>
              <w:right w:val="single" w:sz="8" w:space="0" w:color="auto"/>
            </w:tcBorders>
            <w:shd w:val="clear" w:color="auto" w:fill="auto"/>
            <w:vAlign w:val="center"/>
            <w:hideMark/>
          </w:tcPr>
          <w:p w14:paraId="0CDFA6E6"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c>
          <w:tcPr>
            <w:tcW w:w="263" w:type="pct"/>
            <w:vMerge w:val="restart"/>
            <w:tcBorders>
              <w:top w:val="nil"/>
              <w:left w:val="single" w:sz="8" w:space="0" w:color="auto"/>
              <w:bottom w:val="single" w:sz="8" w:space="0" w:color="000000"/>
              <w:right w:val="single" w:sz="8" w:space="0" w:color="auto"/>
            </w:tcBorders>
            <w:shd w:val="clear" w:color="auto" w:fill="auto"/>
            <w:vAlign w:val="center"/>
            <w:hideMark/>
          </w:tcPr>
          <w:p w14:paraId="7B1286BD"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c>
          <w:tcPr>
            <w:tcW w:w="426" w:type="pct"/>
            <w:vMerge w:val="restart"/>
            <w:tcBorders>
              <w:top w:val="nil"/>
              <w:left w:val="single" w:sz="8" w:space="0" w:color="auto"/>
              <w:bottom w:val="single" w:sz="8" w:space="0" w:color="000000"/>
              <w:right w:val="single" w:sz="8" w:space="0" w:color="auto"/>
            </w:tcBorders>
            <w:shd w:val="clear" w:color="auto" w:fill="auto"/>
            <w:vAlign w:val="center"/>
            <w:hideMark/>
          </w:tcPr>
          <w:p w14:paraId="10C801EA"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c>
          <w:tcPr>
            <w:tcW w:w="303" w:type="pct"/>
            <w:vMerge w:val="restart"/>
            <w:tcBorders>
              <w:top w:val="nil"/>
              <w:left w:val="single" w:sz="8" w:space="0" w:color="auto"/>
              <w:bottom w:val="single" w:sz="8" w:space="0" w:color="000000"/>
              <w:right w:val="single" w:sz="8" w:space="0" w:color="auto"/>
            </w:tcBorders>
            <w:shd w:val="clear" w:color="auto" w:fill="auto"/>
            <w:vAlign w:val="center"/>
            <w:hideMark/>
          </w:tcPr>
          <w:p w14:paraId="63FE2E38"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c>
          <w:tcPr>
            <w:tcW w:w="572" w:type="pct"/>
            <w:vMerge w:val="restart"/>
            <w:tcBorders>
              <w:top w:val="nil"/>
              <w:left w:val="single" w:sz="8" w:space="0" w:color="auto"/>
              <w:bottom w:val="single" w:sz="8" w:space="0" w:color="000000"/>
              <w:right w:val="single" w:sz="8" w:space="0" w:color="auto"/>
            </w:tcBorders>
            <w:shd w:val="clear" w:color="auto" w:fill="auto"/>
            <w:vAlign w:val="center"/>
            <w:hideMark/>
          </w:tcPr>
          <w:p w14:paraId="29400DBC"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c>
          <w:tcPr>
            <w:tcW w:w="263" w:type="pct"/>
            <w:vMerge w:val="restart"/>
            <w:tcBorders>
              <w:top w:val="nil"/>
              <w:left w:val="single" w:sz="8" w:space="0" w:color="auto"/>
              <w:bottom w:val="single" w:sz="8" w:space="0" w:color="000000"/>
              <w:right w:val="single" w:sz="8" w:space="0" w:color="auto"/>
            </w:tcBorders>
            <w:shd w:val="clear" w:color="auto" w:fill="auto"/>
            <w:vAlign w:val="center"/>
            <w:hideMark/>
          </w:tcPr>
          <w:p w14:paraId="195BB4A6"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c>
          <w:tcPr>
            <w:tcW w:w="508" w:type="pct"/>
            <w:tcBorders>
              <w:top w:val="nil"/>
              <w:left w:val="nil"/>
              <w:bottom w:val="nil"/>
              <w:right w:val="single" w:sz="8" w:space="0" w:color="auto"/>
            </w:tcBorders>
            <w:shd w:val="clear" w:color="000000" w:fill="D9D9D9"/>
            <w:vAlign w:val="center"/>
            <w:hideMark/>
          </w:tcPr>
          <w:p w14:paraId="6E2E057D" w14:textId="77777777" w:rsidR="002F76CA" w:rsidRPr="003E0810" w:rsidRDefault="002F76CA" w:rsidP="002F76CA">
            <w:pPr>
              <w:spacing w:after="0" w:line="240" w:lineRule="auto"/>
              <w:rPr>
                <w:rFonts w:ascii="Calibri" w:eastAsia="Times New Roman" w:hAnsi="Calibri" w:cs="Times New Roman"/>
                <w:color w:val="000000"/>
                <w:sz w:val="18"/>
                <w:szCs w:val="18"/>
                <w:lang w:eastAsia="fr-BE"/>
              </w:rPr>
            </w:pPr>
            <w:r w:rsidRPr="002F07D7">
              <w:rPr>
                <w:rFonts w:ascii="Calibri" w:eastAsia="Times New Roman" w:hAnsi="Calibri" w:cs="Times New Roman"/>
                <w:color w:val="000000"/>
                <w:sz w:val="18"/>
                <w:szCs w:val="18"/>
                <w:highlight w:val="darkGray"/>
                <w:lang w:eastAsia="fr-BE"/>
              </w:rPr>
              <w:t>Migration:</w:t>
            </w:r>
          </w:p>
        </w:tc>
        <w:tc>
          <w:tcPr>
            <w:tcW w:w="270" w:type="pct"/>
            <w:vMerge w:val="restart"/>
            <w:tcBorders>
              <w:top w:val="nil"/>
              <w:left w:val="single" w:sz="8" w:space="0" w:color="auto"/>
              <w:bottom w:val="single" w:sz="8" w:space="0" w:color="000000"/>
              <w:right w:val="single" w:sz="8" w:space="0" w:color="auto"/>
            </w:tcBorders>
            <w:shd w:val="clear" w:color="auto" w:fill="auto"/>
            <w:vAlign w:val="center"/>
            <w:hideMark/>
          </w:tcPr>
          <w:p w14:paraId="76958DA9"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c>
          <w:tcPr>
            <w:tcW w:w="258" w:type="pct"/>
            <w:vMerge w:val="restart"/>
            <w:tcBorders>
              <w:top w:val="nil"/>
              <w:left w:val="single" w:sz="8" w:space="0" w:color="auto"/>
              <w:bottom w:val="single" w:sz="8" w:space="0" w:color="000000"/>
              <w:right w:val="single" w:sz="8" w:space="0" w:color="auto"/>
            </w:tcBorders>
            <w:shd w:val="clear" w:color="auto" w:fill="auto"/>
            <w:vAlign w:val="center"/>
            <w:hideMark/>
          </w:tcPr>
          <w:p w14:paraId="626872F8"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c>
          <w:tcPr>
            <w:tcW w:w="551" w:type="pct"/>
            <w:vMerge w:val="restart"/>
            <w:tcBorders>
              <w:top w:val="nil"/>
              <w:left w:val="single" w:sz="8" w:space="0" w:color="auto"/>
              <w:bottom w:val="single" w:sz="8" w:space="0" w:color="000000"/>
              <w:right w:val="single" w:sz="8" w:space="0" w:color="auto"/>
            </w:tcBorders>
            <w:shd w:val="clear" w:color="auto" w:fill="auto"/>
            <w:vAlign w:val="center"/>
            <w:hideMark/>
          </w:tcPr>
          <w:p w14:paraId="5C0F878F"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c>
          <w:tcPr>
            <w:tcW w:w="457" w:type="pct"/>
            <w:vMerge w:val="restart"/>
            <w:tcBorders>
              <w:top w:val="nil"/>
              <w:left w:val="single" w:sz="8" w:space="0" w:color="auto"/>
              <w:bottom w:val="single" w:sz="8" w:space="0" w:color="000000"/>
              <w:right w:val="single" w:sz="8" w:space="0" w:color="auto"/>
            </w:tcBorders>
            <w:shd w:val="clear" w:color="auto" w:fill="auto"/>
            <w:vAlign w:val="center"/>
            <w:hideMark/>
          </w:tcPr>
          <w:p w14:paraId="5AD04F44"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c>
          <w:tcPr>
            <w:tcW w:w="538" w:type="pct"/>
            <w:vMerge w:val="restart"/>
            <w:tcBorders>
              <w:top w:val="nil"/>
              <w:left w:val="single" w:sz="8" w:space="0" w:color="auto"/>
              <w:bottom w:val="single" w:sz="8" w:space="0" w:color="000000"/>
              <w:right w:val="single" w:sz="8" w:space="0" w:color="auto"/>
            </w:tcBorders>
            <w:shd w:val="clear" w:color="auto" w:fill="auto"/>
            <w:vAlign w:val="center"/>
            <w:hideMark/>
          </w:tcPr>
          <w:p w14:paraId="047DC723"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r>
      <w:tr w:rsidR="002F76CA" w:rsidRPr="003E0810" w14:paraId="5FF75E96" w14:textId="77777777" w:rsidTr="002F76CA">
        <w:trPr>
          <w:trHeight w:val="288"/>
        </w:trPr>
        <w:tc>
          <w:tcPr>
            <w:tcW w:w="331" w:type="pct"/>
            <w:vMerge/>
            <w:tcBorders>
              <w:top w:val="nil"/>
              <w:left w:val="single" w:sz="8" w:space="0" w:color="auto"/>
              <w:bottom w:val="single" w:sz="8" w:space="0" w:color="000000"/>
              <w:right w:val="single" w:sz="8" w:space="0" w:color="auto"/>
            </w:tcBorders>
            <w:vAlign w:val="center"/>
            <w:hideMark/>
          </w:tcPr>
          <w:p w14:paraId="7667F003"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259" w:type="pct"/>
            <w:vMerge/>
            <w:tcBorders>
              <w:top w:val="nil"/>
              <w:left w:val="single" w:sz="8" w:space="0" w:color="auto"/>
              <w:bottom w:val="single" w:sz="8" w:space="0" w:color="000000"/>
              <w:right w:val="single" w:sz="8" w:space="0" w:color="auto"/>
            </w:tcBorders>
            <w:vAlign w:val="center"/>
            <w:hideMark/>
          </w:tcPr>
          <w:p w14:paraId="0C6FA146"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263" w:type="pct"/>
            <w:vMerge/>
            <w:tcBorders>
              <w:top w:val="nil"/>
              <w:left w:val="single" w:sz="8" w:space="0" w:color="auto"/>
              <w:bottom w:val="single" w:sz="8" w:space="0" w:color="000000"/>
              <w:right w:val="single" w:sz="8" w:space="0" w:color="auto"/>
            </w:tcBorders>
            <w:vAlign w:val="center"/>
            <w:hideMark/>
          </w:tcPr>
          <w:p w14:paraId="318AA969"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426" w:type="pct"/>
            <w:vMerge/>
            <w:tcBorders>
              <w:top w:val="nil"/>
              <w:left w:val="single" w:sz="8" w:space="0" w:color="auto"/>
              <w:bottom w:val="single" w:sz="8" w:space="0" w:color="000000"/>
              <w:right w:val="single" w:sz="8" w:space="0" w:color="auto"/>
            </w:tcBorders>
            <w:vAlign w:val="center"/>
            <w:hideMark/>
          </w:tcPr>
          <w:p w14:paraId="2F91F6B7"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303" w:type="pct"/>
            <w:vMerge/>
            <w:tcBorders>
              <w:top w:val="nil"/>
              <w:left w:val="single" w:sz="8" w:space="0" w:color="auto"/>
              <w:bottom w:val="single" w:sz="8" w:space="0" w:color="000000"/>
              <w:right w:val="single" w:sz="8" w:space="0" w:color="auto"/>
            </w:tcBorders>
            <w:vAlign w:val="center"/>
            <w:hideMark/>
          </w:tcPr>
          <w:p w14:paraId="0DB28E98"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572" w:type="pct"/>
            <w:vMerge/>
            <w:tcBorders>
              <w:top w:val="nil"/>
              <w:left w:val="single" w:sz="8" w:space="0" w:color="auto"/>
              <w:bottom w:val="single" w:sz="8" w:space="0" w:color="000000"/>
              <w:right w:val="single" w:sz="8" w:space="0" w:color="auto"/>
            </w:tcBorders>
            <w:vAlign w:val="center"/>
            <w:hideMark/>
          </w:tcPr>
          <w:p w14:paraId="161514F8"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263" w:type="pct"/>
            <w:vMerge/>
            <w:tcBorders>
              <w:top w:val="nil"/>
              <w:left w:val="single" w:sz="8" w:space="0" w:color="auto"/>
              <w:bottom w:val="single" w:sz="8" w:space="0" w:color="000000"/>
              <w:right w:val="single" w:sz="8" w:space="0" w:color="auto"/>
            </w:tcBorders>
            <w:vAlign w:val="center"/>
            <w:hideMark/>
          </w:tcPr>
          <w:p w14:paraId="41D226F7"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508" w:type="pct"/>
            <w:tcBorders>
              <w:top w:val="nil"/>
              <w:left w:val="nil"/>
              <w:bottom w:val="nil"/>
              <w:right w:val="single" w:sz="8" w:space="0" w:color="auto"/>
            </w:tcBorders>
            <w:shd w:val="clear" w:color="auto" w:fill="D9D9D9"/>
            <w:vAlign w:val="center"/>
            <w:hideMark/>
          </w:tcPr>
          <w:p w14:paraId="362DA666" w14:textId="77777777" w:rsidR="002F76CA" w:rsidRPr="003E0810" w:rsidRDefault="002F76CA" w:rsidP="002F76CA">
            <w:pPr>
              <w:spacing w:after="0" w:line="240" w:lineRule="auto"/>
              <w:rPr>
                <w:rFonts w:ascii="Calibri" w:eastAsia="Times New Roman" w:hAnsi="Calibri" w:cs="Times New Roman"/>
                <w:color w:val="000000"/>
                <w:sz w:val="18"/>
                <w:szCs w:val="18"/>
                <w:lang w:eastAsia="fr-BE"/>
              </w:rPr>
            </w:pPr>
            <w:r w:rsidRPr="003E0810">
              <w:rPr>
                <w:rFonts w:ascii="Calibri" w:eastAsia="Times New Roman" w:hAnsi="Calibri" w:cs="Times New Roman"/>
                <w:color w:val="000000"/>
                <w:sz w:val="18"/>
                <w:szCs w:val="18"/>
                <w:lang w:eastAsia="fr-BE"/>
              </w:rPr>
              <w:t>- Bar</w:t>
            </w:r>
            <w:r>
              <w:rPr>
                <w:rFonts w:ascii="Calibri" w:eastAsia="Times New Roman" w:hAnsi="Calibri" w:cs="Times New Roman"/>
                <w:color w:val="000000"/>
                <w:sz w:val="18"/>
                <w:szCs w:val="18"/>
                <w:lang w:eastAsia="fr-BE"/>
              </w:rPr>
              <w:t>i</w:t>
            </w:r>
            <w:r w:rsidRPr="003E0810">
              <w:rPr>
                <w:rFonts w:ascii="Calibri" w:eastAsia="Times New Roman" w:hAnsi="Calibri" w:cs="Times New Roman"/>
                <w:color w:val="000000"/>
                <w:sz w:val="18"/>
                <w:szCs w:val="18"/>
                <w:lang w:eastAsia="fr-BE"/>
              </w:rPr>
              <w:t>um</w:t>
            </w:r>
          </w:p>
        </w:tc>
        <w:tc>
          <w:tcPr>
            <w:tcW w:w="270" w:type="pct"/>
            <w:vMerge/>
            <w:tcBorders>
              <w:top w:val="nil"/>
              <w:left w:val="single" w:sz="8" w:space="0" w:color="auto"/>
              <w:bottom w:val="single" w:sz="8" w:space="0" w:color="000000"/>
              <w:right w:val="single" w:sz="8" w:space="0" w:color="auto"/>
            </w:tcBorders>
            <w:vAlign w:val="center"/>
            <w:hideMark/>
          </w:tcPr>
          <w:p w14:paraId="10557AA3"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258" w:type="pct"/>
            <w:vMerge/>
            <w:tcBorders>
              <w:top w:val="nil"/>
              <w:left w:val="single" w:sz="8" w:space="0" w:color="auto"/>
              <w:bottom w:val="single" w:sz="8" w:space="0" w:color="000000"/>
              <w:right w:val="single" w:sz="8" w:space="0" w:color="auto"/>
            </w:tcBorders>
            <w:vAlign w:val="center"/>
            <w:hideMark/>
          </w:tcPr>
          <w:p w14:paraId="3A4E820D"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551" w:type="pct"/>
            <w:vMerge/>
            <w:tcBorders>
              <w:top w:val="nil"/>
              <w:left w:val="single" w:sz="8" w:space="0" w:color="auto"/>
              <w:bottom w:val="single" w:sz="8" w:space="0" w:color="000000"/>
              <w:right w:val="single" w:sz="8" w:space="0" w:color="auto"/>
            </w:tcBorders>
            <w:vAlign w:val="center"/>
            <w:hideMark/>
          </w:tcPr>
          <w:p w14:paraId="70E00775"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457" w:type="pct"/>
            <w:vMerge/>
            <w:tcBorders>
              <w:top w:val="nil"/>
              <w:left w:val="single" w:sz="8" w:space="0" w:color="auto"/>
              <w:bottom w:val="single" w:sz="8" w:space="0" w:color="000000"/>
              <w:right w:val="single" w:sz="8" w:space="0" w:color="auto"/>
            </w:tcBorders>
            <w:vAlign w:val="center"/>
            <w:hideMark/>
          </w:tcPr>
          <w:p w14:paraId="5D8B126E"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538" w:type="pct"/>
            <w:vMerge/>
            <w:tcBorders>
              <w:top w:val="nil"/>
              <w:left w:val="single" w:sz="8" w:space="0" w:color="auto"/>
              <w:bottom w:val="single" w:sz="8" w:space="0" w:color="000000"/>
              <w:right w:val="single" w:sz="8" w:space="0" w:color="auto"/>
            </w:tcBorders>
            <w:vAlign w:val="center"/>
            <w:hideMark/>
          </w:tcPr>
          <w:p w14:paraId="3B4EFAC6" w14:textId="77777777" w:rsidR="002F76CA" w:rsidRPr="003E0810" w:rsidRDefault="002F76CA" w:rsidP="002F76CA">
            <w:pPr>
              <w:spacing w:after="0" w:line="240" w:lineRule="auto"/>
              <w:rPr>
                <w:rFonts w:ascii="Calibri" w:eastAsia="Times New Roman" w:hAnsi="Calibri" w:cs="Times New Roman"/>
                <w:color w:val="000000"/>
                <w:lang w:eastAsia="fr-BE"/>
              </w:rPr>
            </w:pPr>
          </w:p>
        </w:tc>
      </w:tr>
      <w:tr w:rsidR="002F76CA" w:rsidRPr="003E0810" w14:paraId="3D59BE64" w14:textId="77777777" w:rsidTr="002F76CA">
        <w:trPr>
          <w:trHeight w:val="300"/>
        </w:trPr>
        <w:tc>
          <w:tcPr>
            <w:tcW w:w="331" w:type="pct"/>
            <w:vMerge/>
            <w:tcBorders>
              <w:top w:val="nil"/>
              <w:left w:val="single" w:sz="8" w:space="0" w:color="auto"/>
              <w:bottom w:val="single" w:sz="8" w:space="0" w:color="000000"/>
              <w:right w:val="single" w:sz="8" w:space="0" w:color="auto"/>
            </w:tcBorders>
            <w:vAlign w:val="center"/>
            <w:hideMark/>
          </w:tcPr>
          <w:p w14:paraId="2FF48679"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259" w:type="pct"/>
            <w:vMerge/>
            <w:tcBorders>
              <w:top w:val="nil"/>
              <w:left w:val="single" w:sz="8" w:space="0" w:color="auto"/>
              <w:bottom w:val="single" w:sz="8" w:space="0" w:color="000000"/>
              <w:right w:val="single" w:sz="8" w:space="0" w:color="auto"/>
            </w:tcBorders>
            <w:vAlign w:val="center"/>
            <w:hideMark/>
          </w:tcPr>
          <w:p w14:paraId="52D78B99"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263" w:type="pct"/>
            <w:vMerge/>
            <w:tcBorders>
              <w:top w:val="nil"/>
              <w:left w:val="single" w:sz="8" w:space="0" w:color="auto"/>
              <w:bottom w:val="single" w:sz="8" w:space="0" w:color="000000"/>
              <w:right w:val="single" w:sz="8" w:space="0" w:color="auto"/>
            </w:tcBorders>
            <w:vAlign w:val="center"/>
            <w:hideMark/>
          </w:tcPr>
          <w:p w14:paraId="32135CE7"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426" w:type="pct"/>
            <w:vMerge/>
            <w:tcBorders>
              <w:top w:val="nil"/>
              <w:left w:val="single" w:sz="8" w:space="0" w:color="auto"/>
              <w:bottom w:val="single" w:sz="8" w:space="0" w:color="000000"/>
              <w:right w:val="single" w:sz="8" w:space="0" w:color="auto"/>
            </w:tcBorders>
            <w:vAlign w:val="center"/>
            <w:hideMark/>
          </w:tcPr>
          <w:p w14:paraId="2BDFC81C"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303" w:type="pct"/>
            <w:vMerge/>
            <w:tcBorders>
              <w:top w:val="nil"/>
              <w:left w:val="single" w:sz="8" w:space="0" w:color="auto"/>
              <w:bottom w:val="single" w:sz="8" w:space="0" w:color="000000"/>
              <w:right w:val="single" w:sz="8" w:space="0" w:color="auto"/>
            </w:tcBorders>
            <w:vAlign w:val="center"/>
            <w:hideMark/>
          </w:tcPr>
          <w:p w14:paraId="430CAADF"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572" w:type="pct"/>
            <w:vMerge/>
            <w:tcBorders>
              <w:top w:val="nil"/>
              <w:left w:val="single" w:sz="8" w:space="0" w:color="auto"/>
              <w:bottom w:val="single" w:sz="8" w:space="0" w:color="000000"/>
              <w:right w:val="single" w:sz="8" w:space="0" w:color="auto"/>
            </w:tcBorders>
            <w:vAlign w:val="center"/>
            <w:hideMark/>
          </w:tcPr>
          <w:p w14:paraId="5803F88A"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263" w:type="pct"/>
            <w:vMerge/>
            <w:tcBorders>
              <w:top w:val="nil"/>
              <w:left w:val="single" w:sz="8" w:space="0" w:color="auto"/>
              <w:bottom w:val="single" w:sz="8" w:space="0" w:color="000000"/>
              <w:right w:val="single" w:sz="8" w:space="0" w:color="auto"/>
            </w:tcBorders>
            <w:vAlign w:val="center"/>
            <w:hideMark/>
          </w:tcPr>
          <w:p w14:paraId="2B62A392"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508" w:type="pct"/>
            <w:tcBorders>
              <w:top w:val="nil"/>
              <w:left w:val="nil"/>
              <w:bottom w:val="single" w:sz="8" w:space="0" w:color="auto"/>
              <w:right w:val="single" w:sz="8" w:space="0" w:color="auto"/>
            </w:tcBorders>
            <w:shd w:val="clear" w:color="000000" w:fill="D9D9D9"/>
            <w:vAlign w:val="center"/>
            <w:hideMark/>
          </w:tcPr>
          <w:p w14:paraId="0229DEED" w14:textId="77777777" w:rsidR="002F76CA" w:rsidRPr="003E0810" w:rsidRDefault="002F76CA" w:rsidP="002F76CA">
            <w:pPr>
              <w:spacing w:after="0" w:line="240" w:lineRule="auto"/>
              <w:rPr>
                <w:rFonts w:ascii="Calibri" w:eastAsia="Times New Roman" w:hAnsi="Calibri" w:cs="Times New Roman"/>
                <w:color w:val="000000"/>
                <w:sz w:val="18"/>
                <w:szCs w:val="18"/>
                <w:lang w:eastAsia="fr-BE"/>
              </w:rPr>
            </w:pPr>
            <w:r w:rsidRPr="003E0810">
              <w:rPr>
                <w:rFonts w:ascii="Calibri" w:eastAsia="Times New Roman" w:hAnsi="Calibri" w:cs="Times New Roman"/>
                <w:color w:val="000000"/>
                <w:sz w:val="18"/>
                <w:szCs w:val="18"/>
                <w:lang w:eastAsia="fr-BE"/>
              </w:rPr>
              <w:t>- Cadmium</w:t>
            </w:r>
          </w:p>
        </w:tc>
        <w:tc>
          <w:tcPr>
            <w:tcW w:w="270" w:type="pct"/>
            <w:vMerge/>
            <w:tcBorders>
              <w:top w:val="nil"/>
              <w:left w:val="single" w:sz="8" w:space="0" w:color="auto"/>
              <w:bottom w:val="single" w:sz="8" w:space="0" w:color="000000"/>
              <w:right w:val="single" w:sz="8" w:space="0" w:color="auto"/>
            </w:tcBorders>
            <w:vAlign w:val="center"/>
            <w:hideMark/>
          </w:tcPr>
          <w:p w14:paraId="1B59D722"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258" w:type="pct"/>
            <w:vMerge/>
            <w:tcBorders>
              <w:top w:val="nil"/>
              <w:left w:val="single" w:sz="8" w:space="0" w:color="auto"/>
              <w:bottom w:val="single" w:sz="8" w:space="0" w:color="000000"/>
              <w:right w:val="single" w:sz="8" w:space="0" w:color="auto"/>
            </w:tcBorders>
            <w:vAlign w:val="center"/>
            <w:hideMark/>
          </w:tcPr>
          <w:p w14:paraId="609EED32"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551" w:type="pct"/>
            <w:vMerge/>
            <w:tcBorders>
              <w:top w:val="nil"/>
              <w:left w:val="single" w:sz="8" w:space="0" w:color="auto"/>
              <w:bottom w:val="single" w:sz="8" w:space="0" w:color="000000"/>
              <w:right w:val="single" w:sz="8" w:space="0" w:color="auto"/>
            </w:tcBorders>
            <w:vAlign w:val="center"/>
            <w:hideMark/>
          </w:tcPr>
          <w:p w14:paraId="4BFE90B3"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457" w:type="pct"/>
            <w:vMerge/>
            <w:tcBorders>
              <w:top w:val="nil"/>
              <w:left w:val="single" w:sz="8" w:space="0" w:color="auto"/>
              <w:bottom w:val="single" w:sz="8" w:space="0" w:color="000000"/>
              <w:right w:val="single" w:sz="8" w:space="0" w:color="auto"/>
            </w:tcBorders>
            <w:vAlign w:val="center"/>
            <w:hideMark/>
          </w:tcPr>
          <w:p w14:paraId="0001EE56"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538" w:type="pct"/>
            <w:vMerge/>
            <w:tcBorders>
              <w:top w:val="nil"/>
              <w:left w:val="single" w:sz="8" w:space="0" w:color="auto"/>
              <w:bottom w:val="single" w:sz="8" w:space="0" w:color="000000"/>
              <w:right w:val="single" w:sz="8" w:space="0" w:color="auto"/>
            </w:tcBorders>
            <w:vAlign w:val="center"/>
            <w:hideMark/>
          </w:tcPr>
          <w:p w14:paraId="6520FB68" w14:textId="77777777" w:rsidR="002F76CA" w:rsidRPr="003E0810" w:rsidRDefault="002F76CA" w:rsidP="002F76CA">
            <w:pPr>
              <w:spacing w:after="0" w:line="240" w:lineRule="auto"/>
              <w:rPr>
                <w:rFonts w:ascii="Calibri" w:eastAsia="Times New Roman" w:hAnsi="Calibri" w:cs="Times New Roman"/>
                <w:color w:val="000000"/>
                <w:lang w:eastAsia="fr-BE"/>
              </w:rPr>
            </w:pPr>
          </w:p>
        </w:tc>
      </w:tr>
      <w:tr w:rsidR="002F76CA" w:rsidRPr="003E0810" w14:paraId="5FD0CD44" w14:textId="77777777" w:rsidTr="002F76CA">
        <w:trPr>
          <w:trHeight w:val="288"/>
        </w:trPr>
        <w:tc>
          <w:tcPr>
            <w:tcW w:w="331" w:type="pct"/>
            <w:vMerge w:val="restart"/>
            <w:tcBorders>
              <w:top w:val="nil"/>
              <w:left w:val="single" w:sz="8" w:space="0" w:color="auto"/>
              <w:bottom w:val="single" w:sz="8" w:space="0" w:color="000000"/>
              <w:right w:val="single" w:sz="8" w:space="0" w:color="auto"/>
            </w:tcBorders>
            <w:shd w:val="clear" w:color="auto" w:fill="auto"/>
            <w:vAlign w:val="center"/>
            <w:hideMark/>
          </w:tcPr>
          <w:p w14:paraId="36E9E276" w14:textId="77777777" w:rsidR="002F76CA" w:rsidRPr="003E0810" w:rsidRDefault="002F76CA" w:rsidP="002F76CA">
            <w:pPr>
              <w:spacing w:after="0" w:line="240" w:lineRule="auto"/>
              <w:jc w:val="center"/>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2015</w:t>
            </w:r>
          </w:p>
        </w:tc>
        <w:tc>
          <w:tcPr>
            <w:tcW w:w="259" w:type="pct"/>
            <w:vMerge w:val="restart"/>
            <w:tcBorders>
              <w:top w:val="nil"/>
              <w:left w:val="single" w:sz="8" w:space="0" w:color="auto"/>
              <w:bottom w:val="single" w:sz="8" w:space="0" w:color="000000"/>
              <w:right w:val="single" w:sz="8" w:space="0" w:color="auto"/>
            </w:tcBorders>
            <w:shd w:val="clear" w:color="auto" w:fill="auto"/>
            <w:vAlign w:val="center"/>
            <w:hideMark/>
          </w:tcPr>
          <w:p w14:paraId="45A1A46E"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c>
          <w:tcPr>
            <w:tcW w:w="263" w:type="pct"/>
            <w:vMerge w:val="restart"/>
            <w:tcBorders>
              <w:top w:val="nil"/>
              <w:left w:val="single" w:sz="8" w:space="0" w:color="auto"/>
              <w:bottom w:val="single" w:sz="8" w:space="0" w:color="000000"/>
              <w:right w:val="single" w:sz="8" w:space="0" w:color="auto"/>
            </w:tcBorders>
            <w:shd w:val="clear" w:color="auto" w:fill="auto"/>
            <w:vAlign w:val="center"/>
            <w:hideMark/>
          </w:tcPr>
          <w:p w14:paraId="652DE873"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c>
          <w:tcPr>
            <w:tcW w:w="426" w:type="pct"/>
            <w:vMerge w:val="restart"/>
            <w:tcBorders>
              <w:top w:val="nil"/>
              <w:left w:val="single" w:sz="8" w:space="0" w:color="auto"/>
              <w:bottom w:val="single" w:sz="8" w:space="0" w:color="000000"/>
              <w:right w:val="single" w:sz="8" w:space="0" w:color="auto"/>
            </w:tcBorders>
            <w:shd w:val="clear" w:color="auto" w:fill="auto"/>
            <w:vAlign w:val="center"/>
            <w:hideMark/>
          </w:tcPr>
          <w:p w14:paraId="2D3B7179"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c>
          <w:tcPr>
            <w:tcW w:w="303" w:type="pct"/>
            <w:vMerge w:val="restart"/>
            <w:tcBorders>
              <w:top w:val="nil"/>
              <w:left w:val="single" w:sz="8" w:space="0" w:color="auto"/>
              <w:bottom w:val="single" w:sz="8" w:space="0" w:color="000000"/>
              <w:right w:val="single" w:sz="8" w:space="0" w:color="auto"/>
            </w:tcBorders>
            <w:shd w:val="clear" w:color="auto" w:fill="auto"/>
            <w:vAlign w:val="center"/>
            <w:hideMark/>
          </w:tcPr>
          <w:p w14:paraId="5C7D05CC"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c>
          <w:tcPr>
            <w:tcW w:w="572" w:type="pct"/>
            <w:vMerge w:val="restart"/>
            <w:tcBorders>
              <w:top w:val="nil"/>
              <w:left w:val="single" w:sz="8" w:space="0" w:color="auto"/>
              <w:bottom w:val="single" w:sz="8" w:space="0" w:color="000000"/>
              <w:right w:val="single" w:sz="8" w:space="0" w:color="auto"/>
            </w:tcBorders>
            <w:shd w:val="clear" w:color="auto" w:fill="auto"/>
            <w:vAlign w:val="center"/>
            <w:hideMark/>
          </w:tcPr>
          <w:p w14:paraId="435450F4"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c>
          <w:tcPr>
            <w:tcW w:w="263" w:type="pct"/>
            <w:vMerge w:val="restart"/>
            <w:tcBorders>
              <w:top w:val="nil"/>
              <w:left w:val="single" w:sz="8" w:space="0" w:color="auto"/>
              <w:bottom w:val="single" w:sz="8" w:space="0" w:color="000000"/>
              <w:right w:val="single" w:sz="8" w:space="0" w:color="auto"/>
            </w:tcBorders>
            <w:shd w:val="clear" w:color="auto" w:fill="auto"/>
            <w:vAlign w:val="center"/>
            <w:hideMark/>
          </w:tcPr>
          <w:p w14:paraId="14B2856C"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c>
          <w:tcPr>
            <w:tcW w:w="508" w:type="pct"/>
            <w:tcBorders>
              <w:top w:val="nil"/>
              <w:left w:val="nil"/>
              <w:bottom w:val="nil"/>
              <w:right w:val="single" w:sz="8" w:space="0" w:color="auto"/>
            </w:tcBorders>
            <w:shd w:val="clear" w:color="000000" w:fill="C6E0B4"/>
            <w:vAlign w:val="center"/>
            <w:hideMark/>
          </w:tcPr>
          <w:p w14:paraId="1FB53F7A" w14:textId="77777777" w:rsidR="002F76CA" w:rsidRPr="003E0810" w:rsidRDefault="002F76CA" w:rsidP="002F76CA">
            <w:pPr>
              <w:spacing w:after="0" w:line="240" w:lineRule="auto"/>
              <w:rPr>
                <w:rFonts w:ascii="Calibri" w:eastAsia="Times New Roman" w:hAnsi="Calibri" w:cs="Times New Roman"/>
                <w:color w:val="000000"/>
                <w:sz w:val="18"/>
                <w:szCs w:val="18"/>
                <w:lang w:eastAsia="fr-BE"/>
              </w:rPr>
            </w:pPr>
            <w:r w:rsidRPr="003E0810">
              <w:rPr>
                <w:rFonts w:ascii="Calibri" w:eastAsia="Times New Roman" w:hAnsi="Calibri" w:cs="Times New Roman"/>
                <w:color w:val="000000"/>
                <w:sz w:val="18"/>
                <w:szCs w:val="18"/>
                <w:highlight w:val="green"/>
                <w:lang w:eastAsia="fr-BE"/>
              </w:rPr>
              <w:t>App A :</w:t>
            </w:r>
          </w:p>
        </w:tc>
        <w:tc>
          <w:tcPr>
            <w:tcW w:w="270" w:type="pct"/>
            <w:vMerge w:val="restart"/>
            <w:tcBorders>
              <w:top w:val="nil"/>
              <w:left w:val="single" w:sz="8" w:space="0" w:color="auto"/>
              <w:bottom w:val="single" w:sz="8" w:space="0" w:color="000000"/>
              <w:right w:val="single" w:sz="8" w:space="0" w:color="auto"/>
            </w:tcBorders>
            <w:shd w:val="clear" w:color="auto" w:fill="auto"/>
            <w:vAlign w:val="center"/>
            <w:hideMark/>
          </w:tcPr>
          <w:p w14:paraId="0750EA7D"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c>
          <w:tcPr>
            <w:tcW w:w="258" w:type="pct"/>
            <w:vMerge w:val="restart"/>
            <w:tcBorders>
              <w:top w:val="nil"/>
              <w:left w:val="single" w:sz="8" w:space="0" w:color="auto"/>
              <w:bottom w:val="single" w:sz="8" w:space="0" w:color="000000"/>
              <w:right w:val="single" w:sz="8" w:space="0" w:color="auto"/>
            </w:tcBorders>
            <w:shd w:val="clear" w:color="auto" w:fill="auto"/>
            <w:vAlign w:val="center"/>
            <w:hideMark/>
          </w:tcPr>
          <w:p w14:paraId="4640759B"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c>
          <w:tcPr>
            <w:tcW w:w="551" w:type="pct"/>
            <w:vMerge w:val="restart"/>
            <w:tcBorders>
              <w:top w:val="nil"/>
              <w:left w:val="single" w:sz="8" w:space="0" w:color="auto"/>
              <w:bottom w:val="single" w:sz="8" w:space="0" w:color="000000"/>
              <w:right w:val="single" w:sz="8" w:space="0" w:color="auto"/>
            </w:tcBorders>
            <w:shd w:val="clear" w:color="auto" w:fill="auto"/>
            <w:vAlign w:val="center"/>
            <w:hideMark/>
          </w:tcPr>
          <w:p w14:paraId="31EC9DFE"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c>
          <w:tcPr>
            <w:tcW w:w="457" w:type="pct"/>
            <w:vMerge w:val="restart"/>
            <w:tcBorders>
              <w:top w:val="nil"/>
              <w:left w:val="single" w:sz="8" w:space="0" w:color="auto"/>
              <w:bottom w:val="single" w:sz="8" w:space="0" w:color="000000"/>
              <w:right w:val="single" w:sz="8" w:space="0" w:color="auto"/>
            </w:tcBorders>
            <w:shd w:val="clear" w:color="auto" w:fill="auto"/>
            <w:vAlign w:val="center"/>
            <w:hideMark/>
          </w:tcPr>
          <w:p w14:paraId="5D75D537"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c>
          <w:tcPr>
            <w:tcW w:w="538" w:type="pct"/>
            <w:tcBorders>
              <w:top w:val="nil"/>
              <w:left w:val="nil"/>
              <w:bottom w:val="nil"/>
              <w:right w:val="single" w:sz="8" w:space="0" w:color="auto"/>
            </w:tcBorders>
            <w:shd w:val="clear" w:color="000000" w:fill="FFE699"/>
            <w:vAlign w:val="center"/>
            <w:hideMark/>
          </w:tcPr>
          <w:p w14:paraId="0C8184D0" w14:textId="77777777" w:rsidR="002F76CA" w:rsidRPr="003E0810" w:rsidRDefault="002F76CA" w:rsidP="002F76CA">
            <w:pPr>
              <w:spacing w:after="0" w:line="240" w:lineRule="auto"/>
              <w:rPr>
                <w:rFonts w:ascii="Calibri" w:eastAsia="Times New Roman" w:hAnsi="Calibri" w:cs="Times New Roman"/>
                <w:color w:val="000000"/>
                <w:sz w:val="18"/>
                <w:szCs w:val="18"/>
                <w:lang w:eastAsia="fr-BE"/>
              </w:rPr>
            </w:pPr>
            <w:r w:rsidRPr="003E0810">
              <w:rPr>
                <w:rFonts w:ascii="Calibri" w:eastAsia="Times New Roman" w:hAnsi="Calibri" w:cs="Times New Roman"/>
                <w:color w:val="000000"/>
                <w:sz w:val="18"/>
                <w:szCs w:val="18"/>
                <w:highlight w:val="yellow"/>
                <w:lang w:eastAsia="fr-BE"/>
              </w:rPr>
              <w:t xml:space="preserve">App C :  </w:t>
            </w:r>
          </w:p>
        </w:tc>
      </w:tr>
      <w:tr w:rsidR="002F76CA" w:rsidRPr="003E0810" w14:paraId="0CEFB1E0" w14:textId="77777777" w:rsidTr="002F76CA">
        <w:trPr>
          <w:trHeight w:val="288"/>
        </w:trPr>
        <w:tc>
          <w:tcPr>
            <w:tcW w:w="331" w:type="pct"/>
            <w:vMerge/>
            <w:tcBorders>
              <w:top w:val="nil"/>
              <w:left w:val="single" w:sz="8" w:space="0" w:color="auto"/>
              <w:bottom w:val="single" w:sz="8" w:space="0" w:color="000000"/>
              <w:right w:val="single" w:sz="8" w:space="0" w:color="auto"/>
            </w:tcBorders>
            <w:vAlign w:val="center"/>
            <w:hideMark/>
          </w:tcPr>
          <w:p w14:paraId="685FA243"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259" w:type="pct"/>
            <w:vMerge/>
            <w:tcBorders>
              <w:top w:val="nil"/>
              <w:left w:val="single" w:sz="8" w:space="0" w:color="auto"/>
              <w:bottom w:val="single" w:sz="8" w:space="0" w:color="000000"/>
              <w:right w:val="single" w:sz="8" w:space="0" w:color="auto"/>
            </w:tcBorders>
            <w:vAlign w:val="center"/>
            <w:hideMark/>
          </w:tcPr>
          <w:p w14:paraId="37E0C825"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263" w:type="pct"/>
            <w:vMerge/>
            <w:tcBorders>
              <w:top w:val="nil"/>
              <w:left w:val="single" w:sz="8" w:space="0" w:color="auto"/>
              <w:bottom w:val="single" w:sz="8" w:space="0" w:color="000000"/>
              <w:right w:val="single" w:sz="8" w:space="0" w:color="auto"/>
            </w:tcBorders>
            <w:vAlign w:val="center"/>
            <w:hideMark/>
          </w:tcPr>
          <w:p w14:paraId="456B0B2F"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426" w:type="pct"/>
            <w:vMerge/>
            <w:tcBorders>
              <w:top w:val="nil"/>
              <w:left w:val="single" w:sz="8" w:space="0" w:color="auto"/>
              <w:bottom w:val="single" w:sz="8" w:space="0" w:color="000000"/>
              <w:right w:val="single" w:sz="8" w:space="0" w:color="auto"/>
            </w:tcBorders>
            <w:vAlign w:val="center"/>
            <w:hideMark/>
          </w:tcPr>
          <w:p w14:paraId="3698D873"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303" w:type="pct"/>
            <w:vMerge/>
            <w:tcBorders>
              <w:top w:val="nil"/>
              <w:left w:val="single" w:sz="8" w:space="0" w:color="auto"/>
              <w:bottom w:val="single" w:sz="8" w:space="0" w:color="000000"/>
              <w:right w:val="single" w:sz="8" w:space="0" w:color="auto"/>
            </w:tcBorders>
            <w:vAlign w:val="center"/>
            <w:hideMark/>
          </w:tcPr>
          <w:p w14:paraId="20B48D78"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572" w:type="pct"/>
            <w:vMerge/>
            <w:tcBorders>
              <w:top w:val="nil"/>
              <w:left w:val="single" w:sz="8" w:space="0" w:color="auto"/>
              <w:bottom w:val="single" w:sz="8" w:space="0" w:color="000000"/>
              <w:right w:val="single" w:sz="8" w:space="0" w:color="auto"/>
            </w:tcBorders>
            <w:vAlign w:val="center"/>
            <w:hideMark/>
          </w:tcPr>
          <w:p w14:paraId="49A3F854"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263" w:type="pct"/>
            <w:vMerge/>
            <w:tcBorders>
              <w:top w:val="nil"/>
              <w:left w:val="single" w:sz="8" w:space="0" w:color="auto"/>
              <w:bottom w:val="single" w:sz="8" w:space="0" w:color="000000"/>
              <w:right w:val="single" w:sz="8" w:space="0" w:color="auto"/>
            </w:tcBorders>
            <w:vAlign w:val="center"/>
            <w:hideMark/>
          </w:tcPr>
          <w:p w14:paraId="327A9026"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508" w:type="pct"/>
            <w:tcBorders>
              <w:top w:val="nil"/>
              <w:left w:val="nil"/>
              <w:bottom w:val="nil"/>
              <w:right w:val="single" w:sz="8" w:space="0" w:color="auto"/>
            </w:tcBorders>
            <w:shd w:val="clear" w:color="000000" w:fill="C6E0B4"/>
            <w:vAlign w:val="center"/>
            <w:hideMark/>
          </w:tcPr>
          <w:p w14:paraId="22F8CF48" w14:textId="77777777" w:rsidR="002F76CA" w:rsidRPr="003E0810" w:rsidRDefault="002F76CA" w:rsidP="002F76CA">
            <w:pPr>
              <w:spacing w:after="0" w:line="240" w:lineRule="auto"/>
              <w:rPr>
                <w:rFonts w:ascii="Calibri" w:eastAsia="Times New Roman" w:hAnsi="Calibri" w:cs="Times New Roman"/>
                <w:color w:val="000000"/>
                <w:sz w:val="18"/>
                <w:szCs w:val="18"/>
                <w:lang w:eastAsia="fr-BE"/>
              </w:rPr>
            </w:pPr>
            <w:r w:rsidRPr="003E0810">
              <w:rPr>
                <w:rFonts w:ascii="Calibri" w:eastAsia="Times New Roman" w:hAnsi="Calibri" w:cs="Times New Roman"/>
                <w:color w:val="000000"/>
                <w:sz w:val="18"/>
                <w:szCs w:val="18"/>
                <w:lang w:eastAsia="fr-BE"/>
              </w:rPr>
              <w:t xml:space="preserve">- Nickel </w:t>
            </w:r>
          </w:p>
        </w:tc>
        <w:tc>
          <w:tcPr>
            <w:tcW w:w="270" w:type="pct"/>
            <w:vMerge/>
            <w:tcBorders>
              <w:top w:val="nil"/>
              <w:left w:val="single" w:sz="8" w:space="0" w:color="auto"/>
              <w:bottom w:val="single" w:sz="8" w:space="0" w:color="000000"/>
              <w:right w:val="single" w:sz="8" w:space="0" w:color="auto"/>
            </w:tcBorders>
            <w:vAlign w:val="center"/>
            <w:hideMark/>
          </w:tcPr>
          <w:p w14:paraId="3E34CFF4"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258" w:type="pct"/>
            <w:vMerge/>
            <w:tcBorders>
              <w:top w:val="nil"/>
              <w:left w:val="single" w:sz="8" w:space="0" w:color="auto"/>
              <w:bottom w:val="single" w:sz="8" w:space="0" w:color="000000"/>
              <w:right w:val="single" w:sz="8" w:space="0" w:color="auto"/>
            </w:tcBorders>
            <w:vAlign w:val="center"/>
            <w:hideMark/>
          </w:tcPr>
          <w:p w14:paraId="0B1A9278"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551" w:type="pct"/>
            <w:vMerge/>
            <w:tcBorders>
              <w:top w:val="nil"/>
              <w:left w:val="single" w:sz="8" w:space="0" w:color="auto"/>
              <w:bottom w:val="single" w:sz="8" w:space="0" w:color="000000"/>
              <w:right w:val="single" w:sz="8" w:space="0" w:color="auto"/>
            </w:tcBorders>
            <w:vAlign w:val="center"/>
            <w:hideMark/>
          </w:tcPr>
          <w:p w14:paraId="1571BC5F"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457" w:type="pct"/>
            <w:vMerge/>
            <w:tcBorders>
              <w:top w:val="nil"/>
              <w:left w:val="single" w:sz="8" w:space="0" w:color="auto"/>
              <w:bottom w:val="single" w:sz="8" w:space="0" w:color="000000"/>
              <w:right w:val="single" w:sz="8" w:space="0" w:color="auto"/>
            </w:tcBorders>
            <w:vAlign w:val="center"/>
            <w:hideMark/>
          </w:tcPr>
          <w:p w14:paraId="47543385"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538" w:type="pct"/>
            <w:tcBorders>
              <w:top w:val="nil"/>
              <w:left w:val="nil"/>
              <w:bottom w:val="nil"/>
              <w:right w:val="single" w:sz="8" w:space="0" w:color="auto"/>
            </w:tcBorders>
            <w:shd w:val="clear" w:color="000000" w:fill="FFE699"/>
            <w:vAlign w:val="center"/>
            <w:hideMark/>
          </w:tcPr>
          <w:p w14:paraId="04495933" w14:textId="77777777" w:rsidR="002F76CA" w:rsidRPr="003E0810" w:rsidRDefault="002F76CA" w:rsidP="002F76CA">
            <w:pPr>
              <w:spacing w:after="0" w:line="240" w:lineRule="auto"/>
              <w:rPr>
                <w:rFonts w:ascii="Calibri" w:eastAsia="Times New Roman" w:hAnsi="Calibri" w:cs="Times New Roman"/>
                <w:color w:val="000000"/>
                <w:sz w:val="18"/>
                <w:szCs w:val="18"/>
                <w:lang w:eastAsia="fr-BE"/>
              </w:rPr>
            </w:pPr>
            <w:r w:rsidRPr="003E0810">
              <w:rPr>
                <w:rFonts w:ascii="Calibri" w:eastAsia="Times New Roman" w:hAnsi="Calibri" w:cs="Times New Roman"/>
                <w:color w:val="000000"/>
                <w:sz w:val="18"/>
                <w:szCs w:val="18"/>
                <w:lang w:eastAsia="fr-BE"/>
              </w:rPr>
              <w:t xml:space="preserve">- BPA </w:t>
            </w:r>
          </w:p>
        </w:tc>
      </w:tr>
      <w:tr w:rsidR="002F76CA" w:rsidRPr="003E0810" w14:paraId="2EE9AE9A" w14:textId="77777777" w:rsidTr="002F76CA">
        <w:trPr>
          <w:trHeight w:val="492"/>
        </w:trPr>
        <w:tc>
          <w:tcPr>
            <w:tcW w:w="331" w:type="pct"/>
            <w:vMerge/>
            <w:tcBorders>
              <w:top w:val="nil"/>
              <w:left w:val="single" w:sz="8" w:space="0" w:color="auto"/>
              <w:bottom w:val="single" w:sz="8" w:space="0" w:color="000000"/>
              <w:right w:val="single" w:sz="8" w:space="0" w:color="auto"/>
            </w:tcBorders>
            <w:vAlign w:val="center"/>
            <w:hideMark/>
          </w:tcPr>
          <w:p w14:paraId="6287A8A1"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259" w:type="pct"/>
            <w:vMerge/>
            <w:tcBorders>
              <w:top w:val="nil"/>
              <w:left w:val="single" w:sz="8" w:space="0" w:color="auto"/>
              <w:bottom w:val="single" w:sz="8" w:space="0" w:color="000000"/>
              <w:right w:val="single" w:sz="8" w:space="0" w:color="auto"/>
            </w:tcBorders>
            <w:vAlign w:val="center"/>
            <w:hideMark/>
          </w:tcPr>
          <w:p w14:paraId="095D028E"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263" w:type="pct"/>
            <w:vMerge/>
            <w:tcBorders>
              <w:top w:val="nil"/>
              <w:left w:val="single" w:sz="8" w:space="0" w:color="auto"/>
              <w:bottom w:val="single" w:sz="8" w:space="0" w:color="000000"/>
              <w:right w:val="single" w:sz="8" w:space="0" w:color="auto"/>
            </w:tcBorders>
            <w:vAlign w:val="center"/>
            <w:hideMark/>
          </w:tcPr>
          <w:p w14:paraId="5037C1CC"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426" w:type="pct"/>
            <w:vMerge/>
            <w:tcBorders>
              <w:top w:val="nil"/>
              <w:left w:val="single" w:sz="8" w:space="0" w:color="auto"/>
              <w:bottom w:val="single" w:sz="8" w:space="0" w:color="000000"/>
              <w:right w:val="single" w:sz="8" w:space="0" w:color="auto"/>
            </w:tcBorders>
            <w:vAlign w:val="center"/>
            <w:hideMark/>
          </w:tcPr>
          <w:p w14:paraId="0612A281"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303" w:type="pct"/>
            <w:vMerge/>
            <w:tcBorders>
              <w:top w:val="nil"/>
              <w:left w:val="single" w:sz="8" w:space="0" w:color="auto"/>
              <w:bottom w:val="single" w:sz="8" w:space="0" w:color="000000"/>
              <w:right w:val="single" w:sz="8" w:space="0" w:color="auto"/>
            </w:tcBorders>
            <w:vAlign w:val="center"/>
            <w:hideMark/>
          </w:tcPr>
          <w:p w14:paraId="13F0D7DA"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572" w:type="pct"/>
            <w:vMerge/>
            <w:tcBorders>
              <w:top w:val="nil"/>
              <w:left w:val="single" w:sz="8" w:space="0" w:color="auto"/>
              <w:bottom w:val="single" w:sz="8" w:space="0" w:color="000000"/>
              <w:right w:val="single" w:sz="8" w:space="0" w:color="auto"/>
            </w:tcBorders>
            <w:vAlign w:val="center"/>
            <w:hideMark/>
          </w:tcPr>
          <w:p w14:paraId="19958763"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263" w:type="pct"/>
            <w:vMerge/>
            <w:tcBorders>
              <w:top w:val="nil"/>
              <w:left w:val="single" w:sz="8" w:space="0" w:color="auto"/>
              <w:bottom w:val="single" w:sz="8" w:space="0" w:color="000000"/>
              <w:right w:val="single" w:sz="8" w:space="0" w:color="auto"/>
            </w:tcBorders>
            <w:vAlign w:val="center"/>
            <w:hideMark/>
          </w:tcPr>
          <w:p w14:paraId="1877957E"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508" w:type="pct"/>
            <w:tcBorders>
              <w:top w:val="nil"/>
              <w:left w:val="nil"/>
              <w:bottom w:val="single" w:sz="8" w:space="0" w:color="auto"/>
              <w:right w:val="single" w:sz="8" w:space="0" w:color="auto"/>
            </w:tcBorders>
            <w:shd w:val="clear" w:color="000000" w:fill="C6E0B4"/>
            <w:hideMark/>
          </w:tcPr>
          <w:p w14:paraId="3EAEC2EA"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c>
          <w:tcPr>
            <w:tcW w:w="270" w:type="pct"/>
            <w:vMerge/>
            <w:tcBorders>
              <w:top w:val="nil"/>
              <w:left w:val="single" w:sz="8" w:space="0" w:color="auto"/>
              <w:bottom w:val="single" w:sz="8" w:space="0" w:color="000000"/>
              <w:right w:val="single" w:sz="8" w:space="0" w:color="auto"/>
            </w:tcBorders>
            <w:vAlign w:val="center"/>
            <w:hideMark/>
          </w:tcPr>
          <w:p w14:paraId="51785111"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258" w:type="pct"/>
            <w:vMerge/>
            <w:tcBorders>
              <w:top w:val="nil"/>
              <w:left w:val="single" w:sz="8" w:space="0" w:color="auto"/>
              <w:bottom w:val="single" w:sz="8" w:space="0" w:color="000000"/>
              <w:right w:val="single" w:sz="8" w:space="0" w:color="auto"/>
            </w:tcBorders>
            <w:vAlign w:val="center"/>
            <w:hideMark/>
          </w:tcPr>
          <w:p w14:paraId="0FCACCA6"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551" w:type="pct"/>
            <w:vMerge/>
            <w:tcBorders>
              <w:top w:val="nil"/>
              <w:left w:val="single" w:sz="8" w:space="0" w:color="auto"/>
              <w:bottom w:val="single" w:sz="8" w:space="0" w:color="000000"/>
              <w:right w:val="single" w:sz="8" w:space="0" w:color="auto"/>
            </w:tcBorders>
            <w:vAlign w:val="center"/>
            <w:hideMark/>
          </w:tcPr>
          <w:p w14:paraId="7219BD1D"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457" w:type="pct"/>
            <w:vMerge/>
            <w:tcBorders>
              <w:top w:val="nil"/>
              <w:left w:val="single" w:sz="8" w:space="0" w:color="auto"/>
              <w:bottom w:val="single" w:sz="8" w:space="0" w:color="000000"/>
              <w:right w:val="single" w:sz="8" w:space="0" w:color="auto"/>
            </w:tcBorders>
            <w:vAlign w:val="center"/>
            <w:hideMark/>
          </w:tcPr>
          <w:p w14:paraId="6079064E"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538" w:type="pct"/>
            <w:tcBorders>
              <w:top w:val="nil"/>
              <w:left w:val="nil"/>
              <w:bottom w:val="single" w:sz="8" w:space="0" w:color="auto"/>
              <w:right w:val="single" w:sz="8" w:space="0" w:color="auto"/>
            </w:tcBorders>
            <w:shd w:val="clear" w:color="000000" w:fill="FFE699"/>
            <w:vAlign w:val="center"/>
            <w:hideMark/>
          </w:tcPr>
          <w:p w14:paraId="1DF3D972" w14:textId="77777777" w:rsidR="002F76CA" w:rsidRPr="003E0810" w:rsidRDefault="002F76CA" w:rsidP="002F76CA">
            <w:pPr>
              <w:spacing w:after="0" w:line="240" w:lineRule="auto"/>
              <w:rPr>
                <w:rFonts w:ascii="Calibri" w:eastAsia="Times New Roman" w:hAnsi="Calibri" w:cs="Times New Roman"/>
                <w:color w:val="000000"/>
                <w:sz w:val="18"/>
                <w:szCs w:val="18"/>
                <w:lang w:eastAsia="fr-BE"/>
              </w:rPr>
            </w:pPr>
            <w:r w:rsidRPr="003E0810">
              <w:rPr>
                <w:rFonts w:ascii="Calibri" w:eastAsia="Times New Roman" w:hAnsi="Calibri" w:cs="Times New Roman"/>
                <w:color w:val="000000"/>
                <w:sz w:val="18"/>
                <w:szCs w:val="18"/>
                <w:lang w:eastAsia="fr-BE"/>
              </w:rPr>
              <w:t xml:space="preserve">- TCEP, TCPP, TDCP  </w:t>
            </w:r>
          </w:p>
        </w:tc>
      </w:tr>
      <w:tr w:rsidR="002F76CA" w:rsidRPr="003E0810" w14:paraId="0AAF6CEC" w14:textId="77777777" w:rsidTr="002F76CA">
        <w:trPr>
          <w:trHeight w:val="300"/>
        </w:trPr>
        <w:tc>
          <w:tcPr>
            <w:tcW w:w="331" w:type="pct"/>
            <w:tcBorders>
              <w:top w:val="nil"/>
              <w:left w:val="single" w:sz="8" w:space="0" w:color="auto"/>
              <w:bottom w:val="single" w:sz="8" w:space="0" w:color="auto"/>
              <w:right w:val="single" w:sz="8" w:space="0" w:color="auto"/>
            </w:tcBorders>
            <w:shd w:val="clear" w:color="auto" w:fill="auto"/>
            <w:vAlign w:val="center"/>
            <w:hideMark/>
          </w:tcPr>
          <w:p w14:paraId="55DC08A9" w14:textId="77777777" w:rsidR="002F76CA" w:rsidRPr="003E0810" w:rsidRDefault="002F76CA" w:rsidP="002F76CA">
            <w:pPr>
              <w:spacing w:after="0" w:line="240" w:lineRule="auto"/>
              <w:jc w:val="center"/>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2016</w:t>
            </w:r>
          </w:p>
        </w:tc>
        <w:tc>
          <w:tcPr>
            <w:tcW w:w="259" w:type="pct"/>
            <w:tcBorders>
              <w:top w:val="nil"/>
              <w:left w:val="nil"/>
              <w:bottom w:val="single" w:sz="8" w:space="0" w:color="auto"/>
              <w:right w:val="single" w:sz="8" w:space="0" w:color="auto"/>
            </w:tcBorders>
            <w:shd w:val="clear" w:color="auto" w:fill="auto"/>
            <w:vAlign w:val="center"/>
            <w:hideMark/>
          </w:tcPr>
          <w:p w14:paraId="75451681"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c>
          <w:tcPr>
            <w:tcW w:w="263" w:type="pct"/>
            <w:tcBorders>
              <w:top w:val="nil"/>
              <w:left w:val="nil"/>
              <w:bottom w:val="single" w:sz="8" w:space="0" w:color="auto"/>
              <w:right w:val="single" w:sz="8" w:space="0" w:color="auto"/>
            </w:tcBorders>
            <w:shd w:val="clear" w:color="auto" w:fill="auto"/>
            <w:vAlign w:val="center"/>
            <w:hideMark/>
          </w:tcPr>
          <w:p w14:paraId="767D4E44"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c>
          <w:tcPr>
            <w:tcW w:w="426" w:type="pct"/>
            <w:tcBorders>
              <w:top w:val="nil"/>
              <w:left w:val="nil"/>
              <w:bottom w:val="single" w:sz="8" w:space="0" w:color="auto"/>
              <w:right w:val="single" w:sz="8" w:space="0" w:color="auto"/>
            </w:tcBorders>
            <w:shd w:val="clear" w:color="auto" w:fill="auto"/>
            <w:vAlign w:val="center"/>
            <w:hideMark/>
          </w:tcPr>
          <w:p w14:paraId="40308D33"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c>
          <w:tcPr>
            <w:tcW w:w="303" w:type="pct"/>
            <w:tcBorders>
              <w:top w:val="nil"/>
              <w:left w:val="nil"/>
              <w:bottom w:val="single" w:sz="8" w:space="0" w:color="auto"/>
              <w:right w:val="single" w:sz="8" w:space="0" w:color="auto"/>
            </w:tcBorders>
            <w:shd w:val="clear" w:color="auto" w:fill="auto"/>
            <w:vAlign w:val="center"/>
            <w:hideMark/>
          </w:tcPr>
          <w:p w14:paraId="21A5B92B"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c>
          <w:tcPr>
            <w:tcW w:w="572" w:type="pct"/>
            <w:tcBorders>
              <w:top w:val="nil"/>
              <w:left w:val="nil"/>
              <w:bottom w:val="single" w:sz="8" w:space="0" w:color="auto"/>
              <w:right w:val="single" w:sz="8" w:space="0" w:color="auto"/>
            </w:tcBorders>
            <w:shd w:val="clear" w:color="auto" w:fill="auto"/>
            <w:vAlign w:val="center"/>
            <w:hideMark/>
          </w:tcPr>
          <w:p w14:paraId="6DBD5FB7"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c>
          <w:tcPr>
            <w:tcW w:w="263" w:type="pct"/>
            <w:tcBorders>
              <w:top w:val="nil"/>
              <w:left w:val="nil"/>
              <w:bottom w:val="single" w:sz="8" w:space="0" w:color="auto"/>
              <w:right w:val="single" w:sz="8" w:space="0" w:color="auto"/>
            </w:tcBorders>
            <w:shd w:val="clear" w:color="auto" w:fill="auto"/>
            <w:vAlign w:val="center"/>
            <w:hideMark/>
          </w:tcPr>
          <w:p w14:paraId="150DD90F"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c>
          <w:tcPr>
            <w:tcW w:w="508" w:type="pct"/>
            <w:tcBorders>
              <w:top w:val="nil"/>
              <w:left w:val="nil"/>
              <w:bottom w:val="single" w:sz="8" w:space="0" w:color="auto"/>
              <w:right w:val="single" w:sz="8" w:space="0" w:color="auto"/>
            </w:tcBorders>
            <w:shd w:val="clear" w:color="auto" w:fill="auto"/>
            <w:vAlign w:val="center"/>
            <w:hideMark/>
          </w:tcPr>
          <w:p w14:paraId="4F4CC560"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c>
          <w:tcPr>
            <w:tcW w:w="270" w:type="pct"/>
            <w:tcBorders>
              <w:top w:val="nil"/>
              <w:left w:val="nil"/>
              <w:bottom w:val="single" w:sz="8" w:space="0" w:color="auto"/>
              <w:right w:val="single" w:sz="8" w:space="0" w:color="auto"/>
            </w:tcBorders>
            <w:shd w:val="clear" w:color="auto" w:fill="auto"/>
            <w:vAlign w:val="center"/>
            <w:hideMark/>
          </w:tcPr>
          <w:p w14:paraId="4F3CE52A"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c>
          <w:tcPr>
            <w:tcW w:w="258" w:type="pct"/>
            <w:tcBorders>
              <w:top w:val="nil"/>
              <w:left w:val="nil"/>
              <w:bottom w:val="single" w:sz="8" w:space="0" w:color="auto"/>
              <w:right w:val="single" w:sz="8" w:space="0" w:color="auto"/>
            </w:tcBorders>
            <w:shd w:val="clear" w:color="auto" w:fill="auto"/>
            <w:vAlign w:val="center"/>
            <w:hideMark/>
          </w:tcPr>
          <w:p w14:paraId="6E306EAC"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c>
          <w:tcPr>
            <w:tcW w:w="551" w:type="pct"/>
            <w:tcBorders>
              <w:top w:val="nil"/>
              <w:left w:val="nil"/>
              <w:bottom w:val="single" w:sz="8" w:space="0" w:color="auto"/>
              <w:right w:val="single" w:sz="8" w:space="0" w:color="auto"/>
            </w:tcBorders>
            <w:shd w:val="clear" w:color="auto" w:fill="auto"/>
            <w:vAlign w:val="center"/>
            <w:hideMark/>
          </w:tcPr>
          <w:p w14:paraId="5312A456"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c>
          <w:tcPr>
            <w:tcW w:w="457" w:type="pct"/>
            <w:tcBorders>
              <w:top w:val="nil"/>
              <w:left w:val="nil"/>
              <w:bottom w:val="single" w:sz="8" w:space="0" w:color="auto"/>
              <w:right w:val="single" w:sz="8" w:space="0" w:color="auto"/>
            </w:tcBorders>
            <w:shd w:val="clear" w:color="auto" w:fill="auto"/>
            <w:vAlign w:val="center"/>
            <w:hideMark/>
          </w:tcPr>
          <w:p w14:paraId="0D3747CB"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c>
          <w:tcPr>
            <w:tcW w:w="538" w:type="pct"/>
            <w:tcBorders>
              <w:top w:val="nil"/>
              <w:left w:val="nil"/>
              <w:bottom w:val="single" w:sz="8" w:space="0" w:color="auto"/>
              <w:right w:val="single" w:sz="8" w:space="0" w:color="auto"/>
            </w:tcBorders>
            <w:shd w:val="clear" w:color="auto" w:fill="auto"/>
            <w:vAlign w:val="center"/>
            <w:hideMark/>
          </w:tcPr>
          <w:p w14:paraId="1CC9F457"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r>
      <w:tr w:rsidR="002F76CA" w:rsidRPr="003E0810" w14:paraId="06B01E2A" w14:textId="77777777" w:rsidTr="002F76CA">
        <w:trPr>
          <w:trHeight w:val="288"/>
        </w:trPr>
        <w:tc>
          <w:tcPr>
            <w:tcW w:w="331" w:type="pct"/>
            <w:vMerge w:val="restart"/>
            <w:tcBorders>
              <w:top w:val="nil"/>
              <w:left w:val="single" w:sz="8" w:space="0" w:color="auto"/>
              <w:bottom w:val="single" w:sz="8" w:space="0" w:color="000000"/>
              <w:right w:val="single" w:sz="8" w:space="0" w:color="auto"/>
            </w:tcBorders>
            <w:shd w:val="clear" w:color="auto" w:fill="auto"/>
            <w:vAlign w:val="center"/>
            <w:hideMark/>
          </w:tcPr>
          <w:p w14:paraId="06F25FDF" w14:textId="77777777" w:rsidR="002F76CA" w:rsidRPr="003E0810" w:rsidRDefault="002F76CA" w:rsidP="002F76CA">
            <w:pPr>
              <w:spacing w:after="0" w:line="240" w:lineRule="auto"/>
              <w:jc w:val="center"/>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2017</w:t>
            </w:r>
          </w:p>
        </w:tc>
        <w:tc>
          <w:tcPr>
            <w:tcW w:w="259" w:type="pct"/>
            <w:vMerge w:val="restart"/>
            <w:tcBorders>
              <w:top w:val="nil"/>
              <w:left w:val="single" w:sz="8" w:space="0" w:color="auto"/>
              <w:bottom w:val="single" w:sz="8" w:space="0" w:color="000000"/>
              <w:right w:val="single" w:sz="8" w:space="0" w:color="auto"/>
            </w:tcBorders>
            <w:shd w:val="clear" w:color="auto" w:fill="auto"/>
            <w:vAlign w:val="center"/>
            <w:hideMark/>
          </w:tcPr>
          <w:p w14:paraId="1B54A217"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c>
          <w:tcPr>
            <w:tcW w:w="263" w:type="pct"/>
            <w:vMerge w:val="restart"/>
            <w:tcBorders>
              <w:top w:val="nil"/>
              <w:left w:val="single" w:sz="8" w:space="0" w:color="auto"/>
              <w:bottom w:val="single" w:sz="8" w:space="0" w:color="000000"/>
              <w:right w:val="single" w:sz="8" w:space="0" w:color="auto"/>
            </w:tcBorders>
            <w:shd w:val="clear" w:color="auto" w:fill="auto"/>
            <w:vAlign w:val="center"/>
            <w:hideMark/>
          </w:tcPr>
          <w:p w14:paraId="18DB090D"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c>
          <w:tcPr>
            <w:tcW w:w="426" w:type="pct"/>
            <w:vMerge w:val="restart"/>
            <w:tcBorders>
              <w:top w:val="nil"/>
              <w:left w:val="single" w:sz="8" w:space="0" w:color="auto"/>
              <w:bottom w:val="single" w:sz="8" w:space="0" w:color="000000"/>
              <w:right w:val="single" w:sz="8" w:space="0" w:color="auto"/>
            </w:tcBorders>
            <w:shd w:val="clear" w:color="auto" w:fill="auto"/>
            <w:vAlign w:val="center"/>
            <w:hideMark/>
          </w:tcPr>
          <w:p w14:paraId="25F6F025"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c>
          <w:tcPr>
            <w:tcW w:w="303" w:type="pct"/>
            <w:vMerge w:val="restart"/>
            <w:tcBorders>
              <w:top w:val="nil"/>
              <w:left w:val="single" w:sz="8" w:space="0" w:color="auto"/>
              <w:bottom w:val="single" w:sz="8" w:space="0" w:color="000000"/>
              <w:right w:val="single" w:sz="8" w:space="0" w:color="auto"/>
            </w:tcBorders>
            <w:shd w:val="clear" w:color="auto" w:fill="auto"/>
            <w:vAlign w:val="center"/>
            <w:hideMark/>
          </w:tcPr>
          <w:p w14:paraId="0D678CAB"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c>
          <w:tcPr>
            <w:tcW w:w="572" w:type="pct"/>
            <w:tcBorders>
              <w:top w:val="nil"/>
              <w:left w:val="nil"/>
              <w:bottom w:val="nil"/>
              <w:right w:val="single" w:sz="8" w:space="0" w:color="auto"/>
            </w:tcBorders>
            <w:shd w:val="clear" w:color="000000" w:fill="FFE699"/>
            <w:vAlign w:val="center"/>
            <w:hideMark/>
          </w:tcPr>
          <w:p w14:paraId="588C2BB3" w14:textId="77777777" w:rsidR="002F76CA" w:rsidRPr="003E0810" w:rsidRDefault="002F76CA" w:rsidP="002F76CA">
            <w:pPr>
              <w:spacing w:after="0" w:line="240" w:lineRule="auto"/>
              <w:rPr>
                <w:rFonts w:ascii="Calibri" w:eastAsia="Times New Roman" w:hAnsi="Calibri" w:cs="Times New Roman"/>
                <w:color w:val="000000"/>
                <w:sz w:val="18"/>
                <w:szCs w:val="18"/>
                <w:lang w:eastAsia="fr-BE"/>
              </w:rPr>
            </w:pPr>
            <w:r w:rsidRPr="003E0810">
              <w:rPr>
                <w:rFonts w:ascii="Calibri" w:eastAsia="Times New Roman" w:hAnsi="Calibri" w:cs="Times New Roman"/>
                <w:color w:val="000000"/>
                <w:sz w:val="18"/>
                <w:szCs w:val="18"/>
                <w:highlight w:val="yellow"/>
                <w:lang w:eastAsia="fr-BE"/>
              </w:rPr>
              <w:t>App C :</w:t>
            </w:r>
          </w:p>
        </w:tc>
        <w:tc>
          <w:tcPr>
            <w:tcW w:w="263" w:type="pct"/>
            <w:vMerge w:val="restart"/>
            <w:tcBorders>
              <w:top w:val="nil"/>
              <w:left w:val="single" w:sz="8" w:space="0" w:color="auto"/>
              <w:bottom w:val="single" w:sz="8" w:space="0" w:color="000000"/>
              <w:right w:val="single" w:sz="8" w:space="0" w:color="auto"/>
            </w:tcBorders>
            <w:shd w:val="clear" w:color="auto" w:fill="auto"/>
            <w:vAlign w:val="center"/>
            <w:hideMark/>
          </w:tcPr>
          <w:p w14:paraId="147558FB"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c>
          <w:tcPr>
            <w:tcW w:w="508" w:type="pct"/>
            <w:vMerge w:val="restart"/>
            <w:tcBorders>
              <w:top w:val="nil"/>
              <w:left w:val="single" w:sz="8" w:space="0" w:color="auto"/>
              <w:bottom w:val="single" w:sz="8" w:space="0" w:color="000000"/>
              <w:right w:val="single" w:sz="8" w:space="0" w:color="auto"/>
            </w:tcBorders>
            <w:shd w:val="clear" w:color="auto" w:fill="auto"/>
            <w:vAlign w:val="center"/>
            <w:hideMark/>
          </w:tcPr>
          <w:p w14:paraId="74E35EAF"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c>
          <w:tcPr>
            <w:tcW w:w="270" w:type="pct"/>
            <w:vMerge w:val="restart"/>
            <w:tcBorders>
              <w:top w:val="nil"/>
              <w:left w:val="single" w:sz="8" w:space="0" w:color="auto"/>
              <w:bottom w:val="single" w:sz="8" w:space="0" w:color="000000"/>
              <w:right w:val="single" w:sz="8" w:space="0" w:color="auto"/>
            </w:tcBorders>
            <w:shd w:val="clear" w:color="auto" w:fill="auto"/>
            <w:vAlign w:val="center"/>
            <w:hideMark/>
          </w:tcPr>
          <w:p w14:paraId="51B4670B"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c>
          <w:tcPr>
            <w:tcW w:w="258" w:type="pct"/>
            <w:vMerge w:val="restart"/>
            <w:tcBorders>
              <w:top w:val="nil"/>
              <w:left w:val="single" w:sz="8" w:space="0" w:color="auto"/>
              <w:bottom w:val="single" w:sz="8" w:space="0" w:color="000000"/>
              <w:right w:val="single" w:sz="8" w:space="0" w:color="auto"/>
            </w:tcBorders>
            <w:shd w:val="clear" w:color="auto" w:fill="auto"/>
            <w:vAlign w:val="center"/>
            <w:hideMark/>
          </w:tcPr>
          <w:p w14:paraId="10E1FA6C"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c>
          <w:tcPr>
            <w:tcW w:w="551" w:type="pct"/>
            <w:vMerge w:val="restart"/>
            <w:tcBorders>
              <w:top w:val="nil"/>
              <w:left w:val="single" w:sz="8" w:space="0" w:color="auto"/>
              <w:bottom w:val="single" w:sz="8" w:space="0" w:color="000000"/>
              <w:right w:val="single" w:sz="8" w:space="0" w:color="auto"/>
            </w:tcBorders>
            <w:shd w:val="clear" w:color="auto" w:fill="auto"/>
            <w:vAlign w:val="center"/>
            <w:hideMark/>
          </w:tcPr>
          <w:p w14:paraId="4850CA84"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c>
          <w:tcPr>
            <w:tcW w:w="457" w:type="pct"/>
            <w:tcBorders>
              <w:top w:val="nil"/>
              <w:left w:val="nil"/>
              <w:bottom w:val="nil"/>
              <w:right w:val="single" w:sz="8" w:space="0" w:color="auto"/>
            </w:tcBorders>
            <w:shd w:val="clear" w:color="000000" w:fill="FFE699"/>
            <w:vAlign w:val="center"/>
            <w:hideMark/>
          </w:tcPr>
          <w:p w14:paraId="5E75F627" w14:textId="77777777" w:rsidR="002F76CA" w:rsidRPr="003E0810" w:rsidRDefault="002F76CA" w:rsidP="002F76CA">
            <w:pPr>
              <w:spacing w:after="0" w:line="240" w:lineRule="auto"/>
              <w:rPr>
                <w:rFonts w:ascii="Calibri" w:eastAsia="Times New Roman" w:hAnsi="Calibri" w:cs="Times New Roman"/>
                <w:color w:val="000000"/>
                <w:sz w:val="18"/>
                <w:szCs w:val="18"/>
                <w:lang w:eastAsia="fr-BE"/>
              </w:rPr>
            </w:pPr>
            <w:r w:rsidRPr="003E0810">
              <w:rPr>
                <w:rFonts w:ascii="Calibri" w:eastAsia="Times New Roman" w:hAnsi="Calibri" w:cs="Times New Roman"/>
                <w:color w:val="000000"/>
                <w:sz w:val="18"/>
                <w:szCs w:val="18"/>
                <w:highlight w:val="yellow"/>
                <w:lang w:eastAsia="fr-BE"/>
              </w:rPr>
              <w:t>App C :</w:t>
            </w:r>
          </w:p>
        </w:tc>
        <w:tc>
          <w:tcPr>
            <w:tcW w:w="538" w:type="pct"/>
            <w:vMerge w:val="restart"/>
            <w:tcBorders>
              <w:top w:val="nil"/>
              <w:left w:val="single" w:sz="8" w:space="0" w:color="auto"/>
              <w:bottom w:val="single" w:sz="8" w:space="0" w:color="000000"/>
              <w:right w:val="single" w:sz="8" w:space="0" w:color="auto"/>
            </w:tcBorders>
            <w:shd w:val="clear" w:color="auto" w:fill="auto"/>
            <w:vAlign w:val="center"/>
            <w:hideMark/>
          </w:tcPr>
          <w:p w14:paraId="6E712BF4"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r>
      <w:tr w:rsidR="002F76CA" w:rsidRPr="003E0810" w14:paraId="457773A3" w14:textId="77777777" w:rsidTr="002F76CA">
        <w:trPr>
          <w:trHeight w:val="317"/>
        </w:trPr>
        <w:tc>
          <w:tcPr>
            <w:tcW w:w="331" w:type="pct"/>
            <w:vMerge/>
            <w:tcBorders>
              <w:top w:val="nil"/>
              <w:left w:val="single" w:sz="8" w:space="0" w:color="auto"/>
              <w:bottom w:val="single" w:sz="8" w:space="0" w:color="000000"/>
              <w:right w:val="single" w:sz="8" w:space="0" w:color="auto"/>
            </w:tcBorders>
            <w:vAlign w:val="center"/>
            <w:hideMark/>
          </w:tcPr>
          <w:p w14:paraId="2D81E1BD"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259" w:type="pct"/>
            <w:vMerge/>
            <w:tcBorders>
              <w:top w:val="nil"/>
              <w:left w:val="single" w:sz="8" w:space="0" w:color="auto"/>
              <w:bottom w:val="single" w:sz="8" w:space="0" w:color="000000"/>
              <w:right w:val="single" w:sz="8" w:space="0" w:color="auto"/>
            </w:tcBorders>
            <w:vAlign w:val="center"/>
            <w:hideMark/>
          </w:tcPr>
          <w:p w14:paraId="6ABDD724"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263" w:type="pct"/>
            <w:vMerge/>
            <w:tcBorders>
              <w:top w:val="nil"/>
              <w:left w:val="single" w:sz="8" w:space="0" w:color="auto"/>
              <w:bottom w:val="single" w:sz="8" w:space="0" w:color="000000"/>
              <w:right w:val="single" w:sz="8" w:space="0" w:color="auto"/>
            </w:tcBorders>
            <w:vAlign w:val="center"/>
            <w:hideMark/>
          </w:tcPr>
          <w:p w14:paraId="0FF364DC"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426" w:type="pct"/>
            <w:vMerge/>
            <w:tcBorders>
              <w:top w:val="nil"/>
              <w:left w:val="single" w:sz="8" w:space="0" w:color="auto"/>
              <w:bottom w:val="single" w:sz="8" w:space="0" w:color="000000"/>
              <w:right w:val="single" w:sz="8" w:space="0" w:color="auto"/>
            </w:tcBorders>
            <w:vAlign w:val="center"/>
            <w:hideMark/>
          </w:tcPr>
          <w:p w14:paraId="07710B2A"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303" w:type="pct"/>
            <w:vMerge/>
            <w:tcBorders>
              <w:top w:val="nil"/>
              <w:left w:val="single" w:sz="8" w:space="0" w:color="auto"/>
              <w:bottom w:val="single" w:sz="8" w:space="0" w:color="000000"/>
              <w:right w:val="single" w:sz="8" w:space="0" w:color="auto"/>
            </w:tcBorders>
            <w:vAlign w:val="center"/>
            <w:hideMark/>
          </w:tcPr>
          <w:p w14:paraId="16C6096D"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572" w:type="pct"/>
            <w:tcBorders>
              <w:top w:val="nil"/>
              <w:left w:val="nil"/>
              <w:bottom w:val="nil"/>
              <w:right w:val="single" w:sz="8" w:space="0" w:color="auto"/>
            </w:tcBorders>
            <w:shd w:val="clear" w:color="000000" w:fill="FFE699"/>
            <w:vAlign w:val="center"/>
            <w:hideMark/>
          </w:tcPr>
          <w:p w14:paraId="466452CB" w14:textId="77777777" w:rsidR="002F76CA" w:rsidRPr="003E0810" w:rsidRDefault="002F76CA" w:rsidP="002F76CA">
            <w:pPr>
              <w:spacing w:after="0" w:line="240" w:lineRule="auto"/>
              <w:rPr>
                <w:rFonts w:ascii="Calibri" w:eastAsia="Times New Roman" w:hAnsi="Calibri" w:cs="Times New Roman"/>
                <w:color w:val="000000"/>
                <w:sz w:val="18"/>
                <w:szCs w:val="18"/>
                <w:lang w:eastAsia="fr-BE"/>
              </w:rPr>
            </w:pPr>
            <w:r w:rsidRPr="003E0810">
              <w:rPr>
                <w:rFonts w:ascii="Calibri" w:eastAsia="Times New Roman" w:hAnsi="Calibri" w:cs="Times New Roman"/>
                <w:color w:val="000000"/>
                <w:sz w:val="18"/>
                <w:szCs w:val="18"/>
                <w:lang w:eastAsia="fr-BE"/>
              </w:rPr>
              <w:t xml:space="preserve">- </w:t>
            </w:r>
            <w:r>
              <w:rPr>
                <w:rFonts w:ascii="Calibri" w:eastAsia="Times New Roman" w:hAnsi="Calibri" w:cs="Times New Roman"/>
                <w:color w:val="000000"/>
                <w:sz w:val="18"/>
                <w:szCs w:val="18"/>
                <w:lang w:eastAsia="fr-BE"/>
              </w:rPr>
              <w:t>F</w:t>
            </w:r>
            <w:r w:rsidRPr="003E0810">
              <w:rPr>
                <w:rFonts w:ascii="Calibri" w:eastAsia="Times New Roman" w:hAnsi="Calibri" w:cs="Times New Roman"/>
                <w:color w:val="000000"/>
                <w:sz w:val="18"/>
                <w:szCs w:val="18"/>
                <w:lang w:eastAsia="fr-BE"/>
              </w:rPr>
              <w:t>ormamide</w:t>
            </w:r>
          </w:p>
        </w:tc>
        <w:tc>
          <w:tcPr>
            <w:tcW w:w="263" w:type="pct"/>
            <w:vMerge/>
            <w:tcBorders>
              <w:top w:val="nil"/>
              <w:left w:val="single" w:sz="8" w:space="0" w:color="auto"/>
              <w:bottom w:val="single" w:sz="8" w:space="0" w:color="000000"/>
              <w:right w:val="single" w:sz="8" w:space="0" w:color="auto"/>
            </w:tcBorders>
            <w:vAlign w:val="center"/>
            <w:hideMark/>
          </w:tcPr>
          <w:p w14:paraId="11C9186E"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508" w:type="pct"/>
            <w:vMerge/>
            <w:tcBorders>
              <w:top w:val="nil"/>
              <w:left w:val="single" w:sz="8" w:space="0" w:color="auto"/>
              <w:bottom w:val="single" w:sz="8" w:space="0" w:color="000000"/>
              <w:right w:val="single" w:sz="8" w:space="0" w:color="auto"/>
            </w:tcBorders>
            <w:vAlign w:val="center"/>
            <w:hideMark/>
          </w:tcPr>
          <w:p w14:paraId="6ABAEFE7"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270" w:type="pct"/>
            <w:vMerge/>
            <w:tcBorders>
              <w:top w:val="nil"/>
              <w:left w:val="single" w:sz="8" w:space="0" w:color="auto"/>
              <w:bottom w:val="single" w:sz="8" w:space="0" w:color="000000"/>
              <w:right w:val="single" w:sz="8" w:space="0" w:color="auto"/>
            </w:tcBorders>
            <w:vAlign w:val="center"/>
            <w:hideMark/>
          </w:tcPr>
          <w:p w14:paraId="209256BF"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258" w:type="pct"/>
            <w:vMerge/>
            <w:tcBorders>
              <w:top w:val="nil"/>
              <w:left w:val="single" w:sz="8" w:space="0" w:color="auto"/>
              <w:bottom w:val="single" w:sz="8" w:space="0" w:color="000000"/>
              <w:right w:val="single" w:sz="8" w:space="0" w:color="auto"/>
            </w:tcBorders>
            <w:vAlign w:val="center"/>
            <w:hideMark/>
          </w:tcPr>
          <w:p w14:paraId="2916B175"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551" w:type="pct"/>
            <w:vMerge/>
            <w:tcBorders>
              <w:top w:val="nil"/>
              <w:left w:val="single" w:sz="8" w:space="0" w:color="auto"/>
              <w:bottom w:val="single" w:sz="8" w:space="0" w:color="000000"/>
              <w:right w:val="single" w:sz="8" w:space="0" w:color="auto"/>
            </w:tcBorders>
            <w:vAlign w:val="center"/>
            <w:hideMark/>
          </w:tcPr>
          <w:p w14:paraId="66A2A7B3"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457" w:type="pct"/>
            <w:tcBorders>
              <w:top w:val="nil"/>
              <w:left w:val="nil"/>
              <w:bottom w:val="nil"/>
              <w:right w:val="single" w:sz="8" w:space="0" w:color="auto"/>
            </w:tcBorders>
            <w:shd w:val="clear" w:color="000000" w:fill="FFE699"/>
            <w:vAlign w:val="center"/>
            <w:hideMark/>
          </w:tcPr>
          <w:p w14:paraId="090861D6" w14:textId="77777777" w:rsidR="002F76CA" w:rsidRPr="003E0810" w:rsidRDefault="002F76CA" w:rsidP="002F76CA">
            <w:pPr>
              <w:spacing w:after="0" w:line="240" w:lineRule="auto"/>
              <w:rPr>
                <w:rFonts w:ascii="Calibri" w:eastAsia="Times New Roman" w:hAnsi="Calibri" w:cs="Times New Roman"/>
                <w:color w:val="000000"/>
                <w:sz w:val="18"/>
                <w:szCs w:val="18"/>
                <w:lang w:eastAsia="fr-BE"/>
              </w:rPr>
            </w:pPr>
            <w:r w:rsidRPr="003E0810">
              <w:rPr>
                <w:rFonts w:ascii="Calibri" w:eastAsia="Times New Roman" w:hAnsi="Calibri" w:cs="Times New Roman"/>
                <w:color w:val="000000"/>
                <w:sz w:val="18"/>
                <w:szCs w:val="18"/>
                <w:lang w:eastAsia="fr-BE"/>
              </w:rPr>
              <w:t xml:space="preserve">- CMI/MI </w:t>
            </w:r>
          </w:p>
        </w:tc>
        <w:tc>
          <w:tcPr>
            <w:tcW w:w="538" w:type="pct"/>
            <w:vMerge/>
            <w:tcBorders>
              <w:top w:val="nil"/>
              <w:left w:val="single" w:sz="8" w:space="0" w:color="auto"/>
              <w:bottom w:val="single" w:sz="8" w:space="0" w:color="000000"/>
              <w:right w:val="single" w:sz="8" w:space="0" w:color="auto"/>
            </w:tcBorders>
            <w:vAlign w:val="center"/>
            <w:hideMark/>
          </w:tcPr>
          <w:p w14:paraId="219E001F" w14:textId="77777777" w:rsidR="002F76CA" w:rsidRPr="003E0810" w:rsidRDefault="002F76CA" w:rsidP="002F76CA">
            <w:pPr>
              <w:spacing w:after="0" w:line="240" w:lineRule="auto"/>
              <w:rPr>
                <w:rFonts w:ascii="Calibri" w:eastAsia="Times New Roman" w:hAnsi="Calibri" w:cs="Times New Roman"/>
                <w:color w:val="000000"/>
                <w:lang w:eastAsia="fr-BE"/>
              </w:rPr>
            </w:pPr>
          </w:p>
        </w:tc>
      </w:tr>
      <w:tr w:rsidR="002F76CA" w:rsidRPr="003E0810" w14:paraId="701C182F" w14:textId="77777777" w:rsidTr="002F76CA">
        <w:trPr>
          <w:trHeight w:val="84"/>
        </w:trPr>
        <w:tc>
          <w:tcPr>
            <w:tcW w:w="331" w:type="pct"/>
            <w:vMerge/>
            <w:tcBorders>
              <w:top w:val="nil"/>
              <w:left w:val="single" w:sz="8" w:space="0" w:color="auto"/>
              <w:bottom w:val="single" w:sz="8" w:space="0" w:color="000000"/>
              <w:right w:val="single" w:sz="8" w:space="0" w:color="auto"/>
            </w:tcBorders>
            <w:vAlign w:val="center"/>
            <w:hideMark/>
          </w:tcPr>
          <w:p w14:paraId="129C0DE8"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259" w:type="pct"/>
            <w:vMerge/>
            <w:tcBorders>
              <w:top w:val="nil"/>
              <w:left w:val="single" w:sz="8" w:space="0" w:color="auto"/>
              <w:bottom w:val="single" w:sz="8" w:space="0" w:color="000000"/>
              <w:right w:val="single" w:sz="8" w:space="0" w:color="auto"/>
            </w:tcBorders>
            <w:vAlign w:val="center"/>
            <w:hideMark/>
          </w:tcPr>
          <w:p w14:paraId="07CE4105"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263" w:type="pct"/>
            <w:vMerge/>
            <w:tcBorders>
              <w:top w:val="nil"/>
              <w:left w:val="single" w:sz="8" w:space="0" w:color="auto"/>
              <w:bottom w:val="single" w:sz="8" w:space="0" w:color="000000"/>
              <w:right w:val="single" w:sz="8" w:space="0" w:color="auto"/>
            </w:tcBorders>
            <w:vAlign w:val="center"/>
            <w:hideMark/>
          </w:tcPr>
          <w:p w14:paraId="0EA11817"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426" w:type="pct"/>
            <w:vMerge/>
            <w:tcBorders>
              <w:top w:val="nil"/>
              <w:left w:val="single" w:sz="8" w:space="0" w:color="auto"/>
              <w:bottom w:val="single" w:sz="8" w:space="0" w:color="000000"/>
              <w:right w:val="single" w:sz="8" w:space="0" w:color="auto"/>
            </w:tcBorders>
            <w:vAlign w:val="center"/>
            <w:hideMark/>
          </w:tcPr>
          <w:p w14:paraId="5525D178"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303" w:type="pct"/>
            <w:vMerge/>
            <w:tcBorders>
              <w:top w:val="nil"/>
              <w:left w:val="single" w:sz="8" w:space="0" w:color="auto"/>
              <w:bottom w:val="single" w:sz="8" w:space="0" w:color="000000"/>
              <w:right w:val="single" w:sz="8" w:space="0" w:color="auto"/>
            </w:tcBorders>
            <w:vAlign w:val="center"/>
            <w:hideMark/>
          </w:tcPr>
          <w:p w14:paraId="26E1BB64"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572" w:type="pct"/>
            <w:tcBorders>
              <w:top w:val="nil"/>
              <w:left w:val="nil"/>
              <w:bottom w:val="single" w:sz="8" w:space="0" w:color="auto"/>
              <w:right w:val="single" w:sz="8" w:space="0" w:color="auto"/>
            </w:tcBorders>
            <w:shd w:val="clear" w:color="000000" w:fill="FFE699"/>
            <w:vAlign w:val="center"/>
            <w:hideMark/>
          </w:tcPr>
          <w:p w14:paraId="3CDEBA27" w14:textId="77777777" w:rsidR="002F76CA" w:rsidRPr="003E0810" w:rsidRDefault="002F76CA" w:rsidP="002F76CA">
            <w:pPr>
              <w:spacing w:after="0" w:line="240" w:lineRule="auto"/>
              <w:rPr>
                <w:rFonts w:ascii="Calibri" w:eastAsia="Times New Roman" w:hAnsi="Calibri" w:cs="Times New Roman"/>
                <w:color w:val="000000"/>
                <w:sz w:val="18"/>
                <w:szCs w:val="18"/>
                <w:lang w:eastAsia="fr-BE"/>
              </w:rPr>
            </w:pPr>
            <w:r w:rsidRPr="003E0810">
              <w:rPr>
                <w:rFonts w:ascii="Calibri" w:eastAsia="Times New Roman" w:hAnsi="Calibri" w:cs="Times New Roman"/>
                <w:color w:val="000000"/>
                <w:sz w:val="18"/>
                <w:szCs w:val="18"/>
                <w:lang w:eastAsia="fr-BE"/>
              </w:rPr>
              <w:t>- BIT</w:t>
            </w:r>
          </w:p>
        </w:tc>
        <w:tc>
          <w:tcPr>
            <w:tcW w:w="263" w:type="pct"/>
            <w:vMerge/>
            <w:tcBorders>
              <w:top w:val="nil"/>
              <w:left w:val="single" w:sz="8" w:space="0" w:color="auto"/>
              <w:bottom w:val="single" w:sz="8" w:space="0" w:color="000000"/>
              <w:right w:val="single" w:sz="8" w:space="0" w:color="auto"/>
            </w:tcBorders>
            <w:vAlign w:val="center"/>
            <w:hideMark/>
          </w:tcPr>
          <w:p w14:paraId="4798474E"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508" w:type="pct"/>
            <w:vMerge/>
            <w:tcBorders>
              <w:top w:val="nil"/>
              <w:left w:val="single" w:sz="8" w:space="0" w:color="auto"/>
              <w:bottom w:val="single" w:sz="8" w:space="0" w:color="000000"/>
              <w:right w:val="single" w:sz="8" w:space="0" w:color="auto"/>
            </w:tcBorders>
            <w:vAlign w:val="center"/>
            <w:hideMark/>
          </w:tcPr>
          <w:p w14:paraId="37F44CB5"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270" w:type="pct"/>
            <w:vMerge/>
            <w:tcBorders>
              <w:top w:val="nil"/>
              <w:left w:val="single" w:sz="8" w:space="0" w:color="auto"/>
              <w:bottom w:val="single" w:sz="8" w:space="0" w:color="000000"/>
              <w:right w:val="single" w:sz="8" w:space="0" w:color="auto"/>
            </w:tcBorders>
            <w:vAlign w:val="center"/>
            <w:hideMark/>
          </w:tcPr>
          <w:p w14:paraId="322F9FA2"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258" w:type="pct"/>
            <w:vMerge/>
            <w:tcBorders>
              <w:top w:val="nil"/>
              <w:left w:val="single" w:sz="8" w:space="0" w:color="auto"/>
              <w:bottom w:val="single" w:sz="8" w:space="0" w:color="000000"/>
              <w:right w:val="single" w:sz="8" w:space="0" w:color="auto"/>
            </w:tcBorders>
            <w:vAlign w:val="center"/>
            <w:hideMark/>
          </w:tcPr>
          <w:p w14:paraId="680BE88F"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551" w:type="pct"/>
            <w:vMerge/>
            <w:tcBorders>
              <w:top w:val="nil"/>
              <w:left w:val="single" w:sz="8" w:space="0" w:color="auto"/>
              <w:bottom w:val="single" w:sz="4" w:space="0" w:color="auto"/>
              <w:right w:val="single" w:sz="8" w:space="0" w:color="auto"/>
            </w:tcBorders>
            <w:vAlign w:val="center"/>
            <w:hideMark/>
          </w:tcPr>
          <w:p w14:paraId="2BE5A691"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457" w:type="pct"/>
            <w:tcBorders>
              <w:top w:val="nil"/>
              <w:left w:val="nil"/>
              <w:bottom w:val="single" w:sz="4" w:space="0" w:color="auto"/>
              <w:right w:val="single" w:sz="8" w:space="0" w:color="auto"/>
            </w:tcBorders>
            <w:shd w:val="clear" w:color="auto" w:fill="FFE699"/>
            <w:vAlign w:val="center"/>
            <w:hideMark/>
          </w:tcPr>
          <w:p w14:paraId="2433E2BE"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c>
          <w:tcPr>
            <w:tcW w:w="538" w:type="pct"/>
            <w:vMerge/>
            <w:tcBorders>
              <w:top w:val="nil"/>
              <w:left w:val="single" w:sz="8" w:space="0" w:color="auto"/>
              <w:bottom w:val="single" w:sz="8" w:space="0" w:color="000000"/>
              <w:right w:val="single" w:sz="8" w:space="0" w:color="auto"/>
            </w:tcBorders>
            <w:vAlign w:val="center"/>
            <w:hideMark/>
          </w:tcPr>
          <w:p w14:paraId="758E533C" w14:textId="77777777" w:rsidR="002F76CA" w:rsidRPr="003E0810" w:rsidRDefault="002F76CA" w:rsidP="002F76CA">
            <w:pPr>
              <w:spacing w:after="0" w:line="240" w:lineRule="auto"/>
              <w:rPr>
                <w:rFonts w:ascii="Calibri" w:eastAsia="Times New Roman" w:hAnsi="Calibri" w:cs="Times New Roman"/>
                <w:color w:val="000000"/>
                <w:lang w:eastAsia="fr-BE"/>
              </w:rPr>
            </w:pPr>
          </w:p>
        </w:tc>
      </w:tr>
      <w:tr w:rsidR="002F76CA" w:rsidRPr="00850AD6" w14:paraId="4A84998E" w14:textId="77777777" w:rsidTr="002F76CA">
        <w:trPr>
          <w:trHeight w:val="348"/>
        </w:trPr>
        <w:tc>
          <w:tcPr>
            <w:tcW w:w="331" w:type="pct"/>
            <w:vMerge w:val="restart"/>
            <w:tcBorders>
              <w:top w:val="nil"/>
              <w:left w:val="single" w:sz="8" w:space="0" w:color="auto"/>
              <w:right w:val="single" w:sz="8" w:space="0" w:color="auto"/>
            </w:tcBorders>
            <w:shd w:val="clear" w:color="auto" w:fill="auto"/>
            <w:vAlign w:val="center"/>
            <w:hideMark/>
          </w:tcPr>
          <w:p w14:paraId="00D8B8CA" w14:textId="77777777" w:rsidR="002F76CA" w:rsidRPr="003E0810" w:rsidRDefault="002F76CA" w:rsidP="002F76CA">
            <w:pPr>
              <w:spacing w:after="0" w:line="240" w:lineRule="auto"/>
              <w:jc w:val="center"/>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2018</w:t>
            </w:r>
          </w:p>
        </w:tc>
        <w:tc>
          <w:tcPr>
            <w:tcW w:w="259" w:type="pct"/>
            <w:vMerge w:val="restart"/>
            <w:tcBorders>
              <w:top w:val="nil"/>
              <w:left w:val="single" w:sz="8" w:space="0" w:color="auto"/>
              <w:right w:val="single" w:sz="8" w:space="0" w:color="auto"/>
            </w:tcBorders>
            <w:shd w:val="clear" w:color="auto" w:fill="auto"/>
            <w:vAlign w:val="center"/>
            <w:hideMark/>
          </w:tcPr>
          <w:p w14:paraId="1535DEA6"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c>
          <w:tcPr>
            <w:tcW w:w="263" w:type="pct"/>
            <w:vMerge w:val="restart"/>
            <w:tcBorders>
              <w:top w:val="nil"/>
              <w:left w:val="single" w:sz="8" w:space="0" w:color="auto"/>
              <w:right w:val="single" w:sz="8" w:space="0" w:color="auto"/>
            </w:tcBorders>
            <w:shd w:val="clear" w:color="auto" w:fill="auto"/>
            <w:vAlign w:val="center"/>
            <w:hideMark/>
          </w:tcPr>
          <w:p w14:paraId="4EAB41CC"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c>
          <w:tcPr>
            <w:tcW w:w="426" w:type="pct"/>
            <w:vMerge w:val="restart"/>
            <w:tcBorders>
              <w:top w:val="nil"/>
              <w:left w:val="single" w:sz="8" w:space="0" w:color="auto"/>
              <w:right w:val="single" w:sz="8" w:space="0" w:color="auto"/>
            </w:tcBorders>
            <w:shd w:val="clear" w:color="auto" w:fill="auto"/>
            <w:vAlign w:val="center"/>
            <w:hideMark/>
          </w:tcPr>
          <w:p w14:paraId="1B081CFF"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c>
          <w:tcPr>
            <w:tcW w:w="303" w:type="pct"/>
            <w:vMerge w:val="restart"/>
            <w:tcBorders>
              <w:top w:val="nil"/>
              <w:left w:val="single" w:sz="8" w:space="0" w:color="auto"/>
              <w:right w:val="single" w:sz="8" w:space="0" w:color="auto"/>
            </w:tcBorders>
            <w:shd w:val="clear" w:color="auto" w:fill="auto"/>
            <w:vAlign w:val="center"/>
            <w:hideMark/>
          </w:tcPr>
          <w:p w14:paraId="214D1165"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c>
          <w:tcPr>
            <w:tcW w:w="572" w:type="pct"/>
            <w:vMerge w:val="restart"/>
            <w:tcBorders>
              <w:top w:val="nil"/>
              <w:left w:val="single" w:sz="8" w:space="0" w:color="auto"/>
              <w:right w:val="single" w:sz="8" w:space="0" w:color="auto"/>
            </w:tcBorders>
            <w:shd w:val="clear" w:color="auto" w:fill="auto"/>
            <w:vAlign w:val="center"/>
            <w:hideMark/>
          </w:tcPr>
          <w:p w14:paraId="24A1105B"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c>
          <w:tcPr>
            <w:tcW w:w="263" w:type="pct"/>
            <w:vMerge w:val="restart"/>
            <w:tcBorders>
              <w:top w:val="nil"/>
              <w:left w:val="single" w:sz="8" w:space="0" w:color="auto"/>
              <w:right w:val="single" w:sz="8" w:space="0" w:color="auto"/>
            </w:tcBorders>
            <w:shd w:val="clear" w:color="auto" w:fill="auto"/>
            <w:vAlign w:val="center"/>
            <w:hideMark/>
          </w:tcPr>
          <w:p w14:paraId="51FD4388"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c>
          <w:tcPr>
            <w:tcW w:w="508" w:type="pct"/>
            <w:vMerge w:val="restart"/>
            <w:tcBorders>
              <w:top w:val="nil"/>
              <w:left w:val="single" w:sz="8" w:space="0" w:color="auto"/>
              <w:right w:val="single" w:sz="8" w:space="0" w:color="auto"/>
            </w:tcBorders>
            <w:shd w:val="clear" w:color="auto" w:fill="auto"/>
            <w:vAlign w:val="center"/>
            <w:hideMark/>
          </w:tcPr>
          <w:p w14:paraId="7C149564" w14:textId="77777777" w:rsidR="002F76CA" w:rsidRPr="003E0810" w:rsidRDefault="002F76CA" w:rsidP="002F76CA">
            <w:pPr>
              <w:spacing w:after="0" w:line="240" w:lineRule="auto"/>
              <w:jc w:val="center"/>
              <w:rPr>
                <w:rFonts w:ascii="Calibri" w:eastAsia="Times New Roman" w:hAnsi="Calibri" w:cs="Times New Roman"/>
                <w:color w:val="000000"/>
                <w:sz w:val="18"/>
                <w:szCs w:val="18"/>
                <w:lang w:eastAsia="fr-BE"/>
              </w:rPr>
            </w:pPr>
            <w:r w:rsidRPr="003E0810">
              <w:rPr>
                <w:rFonts w:ascii="Calibri" w:eastAsia="Times New Roman" w:hAnsi="Calibri" w:cs="Times New Roman"/>
                <w:color w:val="000000"/>
                <w:sz w:val="18"/>
                <w:szCs w:val="18"/>
                <w:lang w:eastAsia="fr-BE"/>
              </w:rPr>
              <w:t> </w:t>
            </w:r>
          </w:p>
        </w:tc>
        <w:tc>
          <w:tcPr>
            <w:tcW w:w="270" w:type="pct"/>
            <w:vMerge w:val="restart"/>
            <w:tcBorders>
              <w:top w:val="nil"/>
              <w:left w:val="single" w:sz="8" w:space="0" w:color="auto"/>
              <w:right w:val="single" w:sz="8" w:space="0" w:color="auto"/>
            </w:tcBorders>
            <w:shd w:val="clear" w:color="auto" w:fill="auto"/>
            <w:vAlign w:val="center"/>
            <w:hideMark/>
          </w:tcPr>
          <w:p w14:paraId="3CB40721"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p w14:paraId="618242BF"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c>
          <w:tcPr>
            <w:tcW w:w="258" w:type="pct"/>
            <w:vMerge w:val="restart"/>
            <w:tcBorders>
              <w:top w:val="nil"/>
              <w:left w:val="nil"/>
              <w:right w:val="single" w:sz="4" w:space="0" w:color="auto"/>
            </w:tcBorders>
            <w:shd w:val="clear" w:color="auto" w:fill="auto"/>
            <w:vAlign w:val="center"/>
          </w:tcPr>
          <w:p w14:paraId="5D477758" w14:textId="77777777" w:rsidR="002F76CA" w:rsidRPr="00B96DDD" w:rsidRDefault="002F76CA" w:rsidP="002F76CA">
            <w:pPr>
              <w:spacing w:after="0" w:line="240" w:lineRule="auto"/>
              <w:rPr>
                <w:rFonts w:ascii="Calibri" w:eastAsia="Times New Roman" w:hAnsi="Calibri" w:cs="Times New Roman"/>
                <w:color w:val="000000"/>
                <w:sz w:val="18"/>
                <w:szCs w:val="18"/>
                <w:lang w:eastAsia="fr-BE"/>
              </w:rPr>
            </w:pPr>
            <w:r w:rsidRPr="003E0810">
              <w:rPr>
                <w:rFonts w:ascii="Calibri" w:eastAsia="Times New Roman" w:hAnsi="Calibri" w:cs="Times New Roman"/>
                <w:color w:val="000000"/>
                <w:lang w:eastAsia="fr-BE"/>
              </w:rPr>
              <w:t> </w:t>
            </w:r>
          </w:p>
          <w:p w14:paraId="19BA62A2" w14:textId="77777777" w:rsidR="002F76CA" w:rsidRPr="00B96DDD" w:rsidRDefault="002F76CA" w:rsidP="002F76CA">
            <w:pPr>
              <w:spacing w:after="0" w:line="240" w:lineRule="auto"/>
              <w:rPr>
                <w:rFonts w:ascii="Calibri" w:eastAsia="Times New Roman" w:hAnsi="Calibri" w:cs="Times New Roman"/>
                <w:color w:val="000000"/>
                <w:sz w:val="18"/>
                <w:szCs w:val="18"/>
                <w:lang w:eastAsia="fr-BE"/>
              </w:rPr>
            </w:pPr>
            <w:r w:rsidRPr="003E0810">
              <w:rPr>
                <w:rFonts w:ascii="Calibri" w:eastAsia="Times New Roman" w:hAnsi="Calibri" w:cs="Times New Roman"/>
                <w:color w:val="000000"/>
                <w:lang w:eastAsia="fr-BE"/>
              </w:rPr>
              <w:t> </w:t>
            </w:r>
          </w:p>
        </w:tc>
        <w:tc>
          <w:tcPr>
            <w:tcW w:w="551" w:type="pct"/>
            <w:tcBorders>
              <w:top w:val="single" w:sz="4" w:space="0" w:color="auto"/>
              <w:left w:val="single" w:sz="4" w:space="0" w:color="auto"/>
              <w:right w:val="single" w:sz="4" w:space="0" w:color="auto"/>
            </w:tcBorders>
            <w:shd w:val="clear" w:color="auto" w:fill="D9D9D9"/>
            <w:vAlign w:val="center"/>
            <w:hideMark/>
          </w:tcPr>
          <w:p w14:paraId="1E669767" w14:textId="77777777" w:rsidR="002F76CA" w:rsidRPr="003E0810" w:rsidRDefault="002F76CA" w:rsidP="002F76CA">
            <w:pPr>
              <w:spacing w:after="0" w:line="240" w:lineRule="auto"/>
              <w:rPr>
                <w:rFonts w:ascii="Calibri" w:eastAsia="Times New Roman" w:hAnsi="Calibri" w:cs="Times New Roman"/>
                <w:color w:val="000000"/>
                <w:lang w:eastAsia="fr-BE"/>
              </w:rPr>
            </w:pPr>
            <w:r w:rsidRPr="002F07D7">
              <w:rPr>
                <w:rFonts w:ascii="Calibri" w:eastAsia="Times New Roman" w:hAnsi="Calibri" w:cs="Times New Roman"/>
                <w:color w:val="000000"/>
                <w:sz w:val="18"/>
                <w:szCs w:val="18"/>
                <w:highlight w:val="darkGray"/>
                <w:lang w:eastAsia="fr-BE"/>
              </w:rPr>
              <w:t>Migration:</w:t>
            </w:r>
          </w:p>
        </w:tc>
        <w:tc>
          <w:tcPr>
            <w:tcW w:w="457" w:type="pct"/>
            <w:tcBorders>
              <w:top w:val="single" w:sz="4" w:space="0" w:color="auto"/>
              <w:left w:val="single" w:sz="4" w:space="0" w:color="auto"/>
              <w:right w:val="single" w:sz="4" w:space="0" w:color="auto"/>
            </w:tcBorders>
            <w:shd w:val="clear" w:color="auto" w:fill="FFE699"/>
            <w:vAlign w:val="center"/>
            <w:hideMark/>
          </w:tcPr>
          <w:p w14:paraId="60CB06E2"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sz w:val="18"/>
                <w:szCs w:val="18"/>
                <w:highlight w:val="yellow"/>
                <w:lang w:eastAsia="fr-BE"/>
              </w:rPr>
              <w:t>App C :</w:t>
            </w:r>
          </w:p>
        </w:tc>
        <w:tc>
          <w:tcPr>
            <w:tcW w:w="538" w:type="pct"/>
            <w:vMerge w:val="restart"/>
            <w:tcBorders>
              <w:top w:val="nil"/>
              <w:left w:val="single" w:sz="4" w:space="0" w:color="auto"/>
              <w:right w:val="single" w:sz="8" w:space="0" w:color="auto"/>
            </w:tcBorders>
            <w:shd w:val="clear" w:color="auto" w:fill="auto"/>
            <w:vAlign w:val="center"/>
            <w:hideMark/>
          </w:tcPr>
          <w:p w14:paraId="67D3FC58"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r>
      <w:tr w:rsidR="002F76CA" w:rsidRPr="00850AD6" w14:paraId="7189465E" w14:textId="77777777" w:rsidTr="002F76CA">
        <w:trPr>
          <w:trHeight w:val="254"/>
        </w:trPr>
        <w:tc>
          <w:tcPr>
            <w:tcW w:w="331" w:type="pct"/>
            <w:vMerge/>
            <w:tcBorders>
              <w:left w:val="single" w:sz="8" w:space="0" w:color="auto"/>
              <w:right w:val="single" w:sz="8" w:space="0" w:color="auto"/>
            </w:tcBorders>
            <w:shd w:val="clear" w:color="auto" w:fill="auto"/>
            <w:vAlign w:val="center"/>
          </w:tcPr>
          <w:p w14:paraId="5C03B167" w14:textId="77777777" w:rsidR="002F76CA" w:rsidRPr="003E0810" w:rsidRDefault="002F76CA" w:rsidP="002F76CA">
            <w:pPr>
              <w:spacing w:after="0" w:line="240" w:lineRule="auto"/>
              <w:jc w:val="center"/>
              <w:rPr>
                <w:rFonts w:ascii="Calibri" w:eastAsia="Times New Roman" w:hAnsi="Calibri" w:cs="Times New Roman"/>
                <w:color w:val="000000"/>
                <w:lang w:eastAsia="fr-BE"/>
              </w:rPr>
            </w:pPr>
          </w:p>
        </w:tc>
        <w:tc>
          <w:tcPr>
            <w:tcW w:w="259" w:type="pct"/>
            <w:vMerge/>
            <w:tcBorders>
              <w:left w:val="single" w:sz="8" w:space="0" w:color="auto"/>
              <w:right w:val="single" w:sz="8" w:space="0" w:color="auto"/>
            </w:tcBorders>
            <w:shd w:val="clear" w:color="auto" w:fill="auto"/>
            <w:vAlign w:val="center"/>
          </w:tcPr>
          <w:p w14:paraId="14B9ADF0"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263" w:type="pct"/>
            <w:vMerge/>
            <w:tcBorders>
              <w:left w:val="single" w:sz="8" w:space="0" w:color="auto"/>
              <w:right w:val="single" w:sz="8" w:space="0" w:color="auto"/>
            </w:tcBorders>
            <w:shd w:val="clear" w:color="auto" w:fill="auto"/>
            <w:vAlign w:val="center"/>
          </w:tcPr>
          <w:p w14:paraId="32528AC8"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426" w:type="pct"/>
            <w:vMerge/>
            <w:tcBorders>
              <w:left w:val="single" w:sz="8" w:space="0" w:color="auto"/>
              <w:right w:val="single" w:sz="8" w:space="0" w:color="auto"/>
            </w:tcBorders>
            <w:shd w:val="clear" w:color="auto" w:fill="auto"/>
            <w:vAlign w:val="center"/>
          </w:tcPr>
          <w:p w14:paraId="23A2F625"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303" w:type="pct"/>
            <w:vMerge/>
            <w:tcBorders>
              <w:left w:val="single" w:sz="8" w:space="0" w:color="auto"/>
              <w:right w:val="single" w:sz="8" w:space="0" w:color="auto"/>
            </w:tcBorders>
            <w:shd w:val="clear" w:color="auto" w:fill="auto"/>
            <w:vAlign w:val="center"/>
          </w:tcPr>
          <w:p w14:paraId="3DC9BAF7"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572" w:type="pct"/>
            <w:vMerge/>
            <w:tcBorders>
              <w:left w:val="single" w:sz="8" w:space="0" w:color="auto"/>
              <w:right w:val="single" w:sz="8" w:space="0" w:color="auto"/>
            </w:tcBorders>
            <w:shd w:val="clear" w:color="auto" w:fill="auto"/>
            <w:vAlign w:val="center"/>
          </w:tcPr>
          <w:p w14:paraId="7F16612E"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263" w:type="pct"/>
            <w:vMerge/>
            <w:tcBorders>
              <w:left w:val="single" w:sz="8" w:space="0" w:color="auto"/>
              <w:right w:val="single" w:sz="8" w:space="0" w:color="auto"/>
            </w:tcBorders>
            <w:shd w:val="clear" w:color="auto" w:fill="auto"/>
            <w:vAlign w:val="center"/>
          </w:tcPr>
          <w:p w14:paraId="189B1E8B"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508" w:type="pct"/>
            <w:vMerge/>
            <w:tcBorders>
              <w:left w:val="single" w:sz="8" w:space="0" w:color="auto"/>
              <w:right w:val="single" w:sz="8" w:space="0" w:color="auto"/>
            </w:tcBorders>
            <w:shd w:val="clear" w:color="auto" w:fill="auto"/>
            <w:vAlign w:val="center"/>
          </w:tcPr>
          <w:p w14:paraId="11EF85A7" w14:textId="77777777" w:rsidR="002F76CA" w:rsidRPr="003E0810" w:rsidRDefault="002F76CA" w:rsidP="002F76CA">
            <w:pPr>
              <w:spacing w:after="0" w:line="240" w:lineRule="auto"/>
              <w:jc w:val="center"/>
              <w:rPr>
                <w:rFonts w:ascii="Calibri" w:eastAsia="Times New Roman" w:hAnsi="Calibri" w:cs="Times New Roman"/>
                <w:color w:val="000000"/>
                <w:sz w:val="18"/>
                <w:szCs w:val="18"/>
                <w:lang w:eastAsia="fr-BE"/>
              </w:rPr>
            </w:pPr>
          </w:p>
        </w:tc>
        <w:tc>
          <w:tcPr>
            <w:tcW w:w="270" w:type="pct"/>
            <w:vMerge/>
            <w:tcBorders>
              <w:left w:val="single" w:sz="8" w:space="0" w:color="auto"/>
              <w:right w:val="single" w:sz="8" w:space="0" w:color="auto"/>
            </w:tcBorders>
            <w:shd w:val="clear" w:color="auto" w:fill="auto"/>
            <w:vAlign w:val="center"/>
          </w:tcPr>
          <w:p w14:paraId="2CE71243"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258" w:type="pct"/>
            <w:vMerge/>
            <w:tcBorders>
              <w:left w:val="nil"/>
              <w:right w:val="single" w:sz="4" w:space="0" w:color="auto"/>
            </w:tcBorders>
            <w:shd w:val="clear" w:color="auto" w:fill="auto"/>
            <w:vAlign w:val="center"/>
          </w:tcPr>
          <w:p w14:paraId="37B46FD4"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551" w:type="pct"/>
            <w:tcBorders>
              <w:left w:val="single" w:sz="4" w:space="0" w:color="auto"/>
              <w:right w:val="single" w:sz="4" w:space="0" w:color="auto"/>
            </w:tcBorders>
            <w:shd w:val="clear" w:color="auto" w:fill="D9D9D9"/>
          </w:tcPr>
          <w:p w14:paraId="2032E98A" w14:textId="77777777" w:rsidR="002F76CA" w:rsidRPr="002F07D7" w:rsidRDefault="002F76CA" w:rsidP="002F76CA">
            <w:pPr>
              <w:spacing w:after="0" w:line="240" w:lineRule="auto"/>
              <w:rPr>
                <w:rFonts w:ascii="Calibri" w:eastAsia="Times New Roman" w:hAnsi="Calibri" w:cs="Times New Roman"/>
                <w:color w:val="000000"/>
                <w:sz w:val="18"/>
                <w:szCs w:val="18"/>
                <w:highlight w:val="darkGray"/>
                <w:lang w:eastAsia="fr-BE"/>
              </w:rPr>
            </w:pPr>
            <w:r w:rsidRPr="00830093">
              <w:rPr>
                <w:rFonts w:ascii="Calibri" w:eastAsia="Times New Roman" w:hAnsi="Calibri" w:cs="Times New Roman"/>
                <w:color w:val="000000"/>
                <w:sz w:val="18"/>
                <w:szCs w:val="18"/>
                <w:lang w:eastAsia="fr-BE"/>
              </w:rPr>
              <w:t>- lead</w:t>
            </w:r>
          </w:p>
        </w:tc>
        <w:tc>
          <w:tcPr>
            <w:tcW w:w="457" w:type="pct"/>
            <w:tcBorders>
              <w:left w:val="single" w:sz="4" w:space="0" w:color="auto"/>
              <w:right w:val="single" w:sz="4" w:space="0" w:color="auto"/>
            </w:tcBorders>
            <w:shd w:val="clear" w:color="auto" w:fill="FFE699"/>
            <w:vAlign w:val="center"/>
          </w:tcPr>
          <w:p w14:paraId="5C361E96" w14:textId="77777777" w:rsidR="002F76CA" w:rsidRPr="00830093"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sz w:val="18"/>
                <w:szCs w:val="18"/>
                <w:lang w:eastAsia="fr-BE"/>
              </w:rPr>
              <w:t>- Phenol</w:t>
            </w:r>
          </w:p>
        </w:tc>
        <w:tc>
          <w:tcPr>
            <w:tcW w:w="538" w:type="pct"/>
            <w:vMerge/>
            <w:tcBorders>
              <w:left w:val="single" w:sz="4" w:space="0" w:color="auto"/>
              <w:right w:val="single" w:sz="8" w:space="0" w:color="auto"/>
            </w:tcBorders>
            <w:shd w:val="clear" w:color="auto" w:fill="auto"/>
            <w:vAlign w:val="center"/>
          </w:tcPr>
          <w:p w14:paraId="234036F6" w14:textId="77777777" w:rsidR="002F76CA" w:rsidRPr="003E0810" w:rsidRDefault="002F76CA" w:rsidP="002F76CA">
            <w:pPr>
              <w:spacing w:after="0" w:line="240" w:lineRule="auto"/>
              <w:rPr>
                <w:rFonts w:ascii="Calibri" w:eastAsia="Times New Roman" w:hAnsi="Calibri" w:cs="Times New Roman"/>
                <w:color w:val="000000"/>
                <w:lang w:eastAsia="fr-BE"/>
              </w:rPr>
            </w:pPr>
          </w:p>
        </w:tc>
      </w:tr>
      <w:tr w:rsidR="002F76CA" w:rsidRPr="00850AD6" w14:paraId="1509BC6C" w14:textId="77777777" w:rsidTr="002F76CA">
        <w:trPr>
          <w:trHeight w:val="306"/>
        </w:trPr>
        <w:tc>
          <w:tcPr>
            <w:tcW w:w="331" w:type="pct"/>
            <w:vMerge/>
            <w:tcBorders>
              <w:left w:val="single" w:sz="8" w:space="0" w:color="auto"/>
              <w:bottom w:val="single" w:sz="8" w:space="0" w:color="000000"/>
              <w:right w:val="single" w:sz="8" w:space="0" w:color="auto"/>
            </w:tcBorders>
            <w:shd w:val="clear" w:color="auto" w:fill="auto"/>
            <w:vAlign w:val="center"/>
          </w:tcPr>
          <w:p w14:paraId="3A5D7D88" w14:textId="77777777" w:rsidR="002F76CA" w:rsidRPr="003E0810" w:rsidRDefault="002F76CA" w:rsidP="002F76CA">
            <w:pPr>
              <w:spacing w:after="0" w:line="240" w:lineRule="auto"/>
              <w:jc w:val="center"/>
              <w:rPr>
                <w:rFonts w:ascii="Calibri" w:eastAsia="Times New Roman" w:hAnsi="Calibri" w:cs="Times New Roman"/>
                <w:color w:val="000000"/>
                <w:lang w:eastAsia="fr-BE"/>
              </w:rPr>
            </w:pPr>
          </w:p>
        </w:tc>
        <w:tc>
          <w:tcPr>
            <w:tcW w:w="259" w:type="pct"/>
            <w:vMerge/>
            <w:tcBorders>
              <w:left w:val="single" w:sz="8" w:space="0" w:color="auto"/>
              <w:bottom w:val="single" w:sz="8" w:space="0" w:color="000000"/>
              <w:right w:val="single" w:sz="8" w:space="0" w:color="auto"/>
            </w:tcBorders>
            <w:shd w:val="clear" w:color="auto" w:fill="auto"/>
            <w:vAlign w:val="center"/>
          </w:tcPr>
          <w:p w14:paraId="2FA5AE23"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263" w:type="pct"/>
            <w:vMerge/>
            <w:tcBorders>
              <w:left w:val="single" w:sz="8" w:space="0" w:color="auto"/>
              <w:bottom w:val="single" w:sz="8" w:space="0" w:color="000000"/>
              <w:right w:val="single" w:sz="8" w:space="0" w:color="auto"/>
            </w:tcBorders>
            <w:shd w:val="clear" w:color="auto" w:fill="auto"/>
            <w:vAlign w:val="center"/>
          </w:tcPr>
          <w:p w14:paraId="0216457E"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426" w:type="pct"/>
            <w:vMerge/>
            <w:tcBorders>
              <w:left w:val="single" w:sz="8" w:space="0" w:color="auto"/>
              <w:bottom w:val="single" w:sz="8" w:space="0" w:color="000000"/>
              <w:right w:val="single" w:sz="8" w:space="0" w:color="auto"/>
            </w:tcBorders>
            <w:shd w:val="clear" w:color="auto" w:fill="auto"/>
            <w:vAlign w:val="center"/>
          </w:tcPr>
          <w:p w14:paraId="2B749EE8"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303" w:type="pct"/>
            <w:vMerge/>
            <w:tcBorders>
              <w:left w:val="single" w:sz="8" w:space="0" w:color="auto"/>
              <w:bottom w:val="single" w:sz="8" w:space="0" w:color="000000"/>
              <w:right w:val="single" w:sz="8" w:space="0" w:color="auto"/>
            </w:tcBorders>
            <w:shd w:val="clear" w:color="auto" w:fill="auto"/>
            <w:vAlign w:val="center"/>
          </w:tcPr>
          <w:p w14:paraId="34010399"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572" w:type="pct"/>
            <w:vMerge/>
            <w:tcBorders>
              <w:left w:val="single" w:sz="8" w:space="0" w:color="auto"/>
              <w:bottom w:val="single" w:sz="8" w:space="0" w:color="000000"/>
              <w:right w:val="single" w:sz="8" w:space="0" w:color="auto"/>
            </w:tcBorders>
            <w:shd w:val="clear" w:color="auto" w:fill="auto"/>
            <w:vAlign w:val="center"/>
          </w:tcPr>
          <w:p w14:paraId="25F3E2D8"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263" w:type="pct"/>
            <w:vMerge/>
            <w:tcBorders>
              <w:left w:val="single" w:sz="8" w:space="0" w:color="auto"/>
              <w:bottom w:val="single" w:sz="8" w:space="0" w:color="000000"/>
              <w:right w:val="single" w:sz="8" w:space="0" w:color="auto"/>
            </w:tcBorders>
            <w:shd w:val="clear" w:color="auto" w:fill="auto"/>
            <w:vAlign w:val="center"/>
          </w:tcPr>
          <w:p w14:paraId="18523F47"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508" w:type="pct"/>
            <w:vMerge/>
            <w:tcBorders>
              <w:left w:val="single" w:sz="8" w:space="0" w:color="auto"/>
              <w:bottom w:val="single" w:sz="8" w:space="0" w:color="000000"/>
              <w:right w:val="single" w:sz="8" w:space="0" w:color="auto"/>
            </w:tcBorders>
            <w:shd w:val="clear" w:color="auto" w:fill="auto"/>
            <w:vAlign w:val="center"/>
          </w:tcPr>
          <w:p w14:paraId="26525339" w14:textId="77777777" w:rsidR="002F76CA" w:rsidRPr="003E0810" w:rsidRDefault="002F76CA" w:rsidP="002F76CA">
            <w:pPr>
              <w:spacing w:after="0" w:line="240" w:lineRule="auto"/>
              <w:jc w:val="center"/>
              <w:rPr>
                <w:rFonts w:ascii="Calibri" w:eastAsia="Times New Roman" w:hAnsi="Calibri" w:cs="Times New Roman"/>
                <w:color w:val="000000"/>
                <w:sz w:val="18"/>
                <w:szCs w:val="18"/>
                <w:lang w:eastAsia="fr-BE"/>
              </w:rPr>
            </w:pPr>
          </w:p>
        </w:tc>
        <w:tc>
          <w:tcPr>
            <w:tcW w:w="270" w:type="pct"/>
            <w:vMerge/>
            <w:tcBorders>
              <w:left w:val="single" w:sz="8" w:space="0" w:color="auto"/>
              <w:bottom w:val="single" w:sz="8" w:space="0" w:color="000000"/>
              <w:right w:val="single" w:sz="8" w:space="0" w:color="auto"/>
            </w:tcBorders>
            <w:shd w:val="clear" w:color="auto" w:fill="auto"/>
            <w:vAlign w:val="center"/>
          </w:tcPr>
          <w:p w14:paraId="3F4F6FAC"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258" w:type="pct"/>
            <w:vMerge/>
            <w:tcBorders>
              <w:left w:val="nil"/>
              <w:right w:val="single" w:sz="4" w:space="0" w:color="auto"/>
            </w:tcBorders>
            <w:shd w:val="clear" w:color="auto" w:fill="auto"/>
            <w:vAlign w:val="center"/>
          </w:tcPr>
          <w:p w14:paraId="657BFBA3"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551" w:type="pct"/>
            <w:tcBorders>
              <w:left w:val="single" w:sz="4" w:space="0" w:color="auto"/>
              <w:bottom w:val="single" w:sz="4" w:space="0" w:color="auto"/>
              <w:right w:val="single" w:sz="4" w:space="0" w:color="auto"/>
            </w:tcBorders>
            <w:shd w:val="clear" w:color="auto" w:fill="D9D9D9"/>
            <w:vAlign w:val="center"/>
          </w:tcPr>
          <w:p w14:paraId="60719A78" w14:textId="77777777" w:rsidR="002F76CA" w:rsidRPr="002F07D7" w:rsidRDefault="002F76CA" w:rsidP="002F76CA">
            <w:pPr>
              <w:spacing w:after="0" w:line="240" w:lineRule="auto"/>
              <w:rPr>
                <w:rFonts w:ascii="Calibri" w:eastAsia="Times New Roman" w:hAnsi="Calibri" w:cs="Times New Roman"/>
                <w:color w:val="000000"/>
                <w:sz w:val="18"/>
                <w:szCs w:val="18"/>
                <w:highlight w:val="darkGray"/>
                <w:lang w:eastAsia="fr-BE"/>
              </w:rPr>
            </w:pPr>
          </w:p>
        </w:tc>
        <w:tc>
          <w:tcPr>
            <w:tcW w:w="457" w:type="pct"/>
            <w:tcBorders>
              <w:left w:val="single" w:sz="4" w:space="0" w:color="auto"/>
              <w:bottom w:val="single" w:sz="4" w:space="0" w:color="auto"/>
              <w:right w:val="single" w:sz="4" w:space="0" w:color="auto"/>
            </w:tcBorders>
            <w:shd w:val="clear" w:color="auto" w:fill="FFE699"/>
            <w:vAlign w:val="center"/>
          </w:tcPr>
          <w:p w14:paraId="013FC9E9" w14:textId="77777777" w:rsidR="002F76CA" w:rsidRPr="003E0810" w:rsidRDefault="002F76CA" w:rsidP="002F76CA">
            <w:pPr>
              <w:spacing w:after="0" w:line="240" w:lineRule="auto"/>
              <w:rPr>
                <w:rFonts w:ascii="Calibri" w:eastAsia="Times New Roman" w:hAnsi="Calibri" w:cs="Times New Roman"/>
                <w:color w:val="000000"/>
                <w:sz w:val="18"/>
                <w:szCs w:val="18"/>
                <w:highlight w:val="yellow"/>
                <w:lang w:eastAsia="fr-BE"/>
              </w:rPr>
            </w:pPr>
            <w:r w:rsidRPr="003E0810">
              <w:rPr>
                <w:rFonts w:ascii="Calibri" w:eastAsia="Times New Roman" w:hAnsi="Calibri" w:cs="Times New Roman"/>
                <w:color w:val="000000"/>
                <w:sz w:val="18"/>
                <w:szCs w:val="18"/>
                <w:lang w:eastAsia="fr-BE"/>
              </w:rPr>
              <w:t>- BPA</w:t>
            </w:r>
          </w:p>
        </w:tc>
        <w:tc>
          <w:tcPr>
            <w:tcW w:w="538" w:type="pct"/>
            <w:vMerge/>
            <w:tcBorders>
              <w:left w:val="single" w:sz="4" w:space="0" w:color="auto"/>
              <w:bottom w:val="single" w:sz="8" w:space="0" w:color="000000"/>
              <w:right w:val="single" w:sz="8" w:space="0" w:color="auto"/>
            </w:tcBorders>
            <w:shd w:val="clear" w:color="auto" w:fill="auto"/>
            <w:vAlign w:val="center"/>
          </w:tcPr>
          <w:p w14:paraId="07319ABB" w14:textId="77777777" w:rsidR="002F76CA" w:rsidRPr="003E0810" w:rsidRDefault="002F76CA" w:rsidP="002F76CA">
            <w:pPr>
              <w:spacing w:after="0" w:line="240" w:lineRule="auto"/>
              <w:rPr>
                <w:rFonts w:ascii="Calibri" w:eastAsia="Times New Roman" w:hAnsi="Calibri" w:cs="Times New Roman"/>
                <w:color w:val="000000"/>
                <w:lang w:eastAsia="fr-BE"/>
              </w:rPr>
            </w:pPr>
          </w:p>
        </w:tc>
      </w:tr>
      <w:tr w:rsidR="002F76CA" w:rsidRPr="003E0810" w14:paraId="6F993F5C" w14:textId="77777777" w:rsidTr="002F76CA">
        <w:trPr>
          <w:trHeight w:val="608"/>
        </w:trPr>
        <w:tc>
          <w:tcPr>
            <w:tcW w:w="331" w:type="pct"/>
            <w:tcBorders>
              <w:top w:val="nil"/>
              <w:left w:val="single" w:sz="8" w:space="0" w:color="auto"/>
              <w:bottom w:val="single" w:sz="4" w:space="0" w:color="auto"/>
              <w:right w:val="single" w:sz="8" w:space="0" w:color="auto"/>
            </w:tcBorders>
            <w:shd w:val="clear" w:color="auto" w:fill="auto"/>
            <w:vAlign w:val="center"/>
            <w:hideMark/>
          </w:tcPr>
          <w:p w14:paraId="318E3AF6" w14:textId="77777777" w:rsidR="002F76CA" w:rsidRPr="003E0810" w:rsidRDefault="002F76CA" w:rsidP="002F76CA">
            <w:pPr>
              <w:spacing w:after="0" w:line="240" w:lineRule="auto"/>
              <w:jc w:val="center"/>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2019</w:t>
            </w:r>
          </w:p>
        </w:tc>
        <w:tc>
          <w:tcPr>
            <w:tcW w:w="259" w:type="pct"/>
            <w:tcBorders>
              <w:top w:val="nil"/>
              <w:left w:val="single" w:sz="8" w:space="0" w:color="auto"/>
              <w:bottom w:val="single" w:sz="4" w:space="0" w:color="auto"/>
              <w:right w:val="single" w:sz="8" w:space="0" w:color="auto"/>
            </w:tcBorders>
            <w:shd w:val="clear" w:color="auto" w:fill="auto"/>
            <w:vAlign w:val="center"/>
            <w:hideMark/>
          </w:tcPr>
          <w:p w14:paraId="3878C8A5"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c>
          <w:tcPr>
            <w:tcW w:w="263" w:type="pct"/>
            <w:tcBorders>
              <w:top w:val="nil"/>
              <w:left w:val="single" w:sz="8" w:space="0" w:color="auto"/>
              <w:bottom w:val="single" w:sz="4" w:space="0" w:color="auto"/>
              <w:right w:val="single" w:sz="8" w:space="0" w:color="auto"/>
            </w:tcBorders>
            <w:shd w:val="clear" w:color="auto" w:fill="auto"/>
            <w:vAlign w:val="center"/>
            <w:hideMark/>
          </w:tcPr>
          <w:p w14:paraId="0CB638E6"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c>
          <w:tcPr>
            <w:tcW w:w="426" w:type="pct"/>
            <w:tcBorders>
              <w:top w:val="single" w:sz="8" w:space="0" w:color="000000"/>
              <w:left w:val="nil"/>
              <w:bottom w:val="single" w:sz="4" w:space="0" w:color="auto"/>
              <w:right w:val="single" w:sz="8" w:space="0" w:color="auto"/>
            </w:tcBorders>
            <w:shd w:val="clear" w:color="auto" w:fill="auto"/>
            <w:vAlign w:val="center"/>
          </w:tcPr>
          <w:p w14:paraId="45B18E58" w14:textId="77777777" w:rsidR="002F76CA" w:rsidRPr="000146D4" w:rsidRDefault="002F76CA" w:rsidP="002F76CA">
            <w:pPr>
              <w:spacing w:after="0" w:line="240" w:lineRule="auto"/>
              <w:rPr>
                <w:rFonts w:ascii="Calibri" w:eastAsia="Times New Roman" w:hAnsi="Calibri" w:cs="Times New Roman"/>
                <w:color w:val="000000"/>
                <w:sz w:val="18"/>
                <w:szCs w:val="18"/>
                <w:lang w:eastAsia="fr-BE"/>
              </w:rPr>
            </w:pPr>
          </w:p>
        </w:tc>
        <w:tc>
          <w:tcPr>
            <w:tcW w:w="303" w:type="pct"/>
            <w:tcBorders>
              <w:top w:val="nil"/>
              <w:left w:val="single" w:sz="8" w:space="0" w:color="auto"/>
              <w:bottom w:val="single" w:sz="4" w:space="0" w:color="auto"/>
              <w:right w:val="single" w:sz="8" w:space="0" w:color="auto"/>
            </w:tcBorders>
            <w:shd w:val="clear" w:color="auto" w:fill="auto"/>
            <w:vAlign w:val="center"/>
            <w:hideMark/>
          </w:tcPr>
          <w:p w14:paraId="47AEA80D"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c>
          <w:tcPr>
            <w:tcW w:w="572" w:type="pct"/>
            <w:tcBorders>
              <w:top w:val="nil"/>
              <w:left w:val="single" w:sz="8" w:space="0" w:color="auto"/>
              <w:bottom w:val="single" w:sz="4" w:space="0" w:color="auto"/>
              <w:right w:val="single" w:sz="8" w:space="0" w:color="auto"/>
            </w:tcBorders>
            <w:shd w:val="clear" w:color="auto" w:fill="auto"/>
            <w:vAlign w:val="center"/>
            <w:hideMark/>
          </w:tcPr>
          <w:p w14:paraId="1271CBA6"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c>
          <w:tcPr>
            <w:tcW w:w="263" w:type="pct"/>
            <w:tcBorders>
              <w:top w:val="nil"/>
              <w:left w:val="single" w:sz="8" w:space="0" w:color="auto"/>
              <w:bottom w:val="single" w:sz="4" w:space="0" w:color="auto"/>
              <w:right w:val="single" w:sz="8" w:space="0" w:color="auto"/>
            </w:tcBorders>
            <w:shd w:val="clear" w:color="auto" w:fill="auto"/>
            <w:vAlign w:val="center"/>
            <w:hideMark/>
          </w:tcPr>
          <w:p w14:paraId="329E5960"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c>
          <w:tcPr>
            <w:tcW w:w="508" w:type="pct"/>
            <w:tcBorders>
              <w:top w:val="nil"/>
              <w:left w:val="single" w:sz="8" w:space="0" w:color="auto"/>
              <w:bottom w:val="single" w:sz="4" w:space="0" w:color="auto"/>
              <w:right w:val="single" w:sz="8" w:space="0" w:color="auto"/>
            </w:tcBorders>
            <w:shd w:val="clear" w:color="auto" w:fill="auto"/>
            <w:vAlign w:val="center"/>
            <w:hideMark/>
          </w:tcPr>
          <w:p w14:paraId="7FD788F2"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c>
          <w:tcPr>
            <w:tcW w:w="270" w:type="pct"/>
            <w:tcBorders>
              <w:top w:val="nil"/>
              <w:left w:val="single" w:sz="8" w:space="0" w:color="auto"/>
              <w:bottom w:val="single" w:sz="4" w:space="0" w:color="auto"/>
              <w:right w:val="single" w:sz="8" w:space="0" w:color="auto"/>
            </w:tcBorders>
            <w:shd w:val="clear" w:color="auto" w:fill="auto"/>
            <w:vAlign w:val="center"/>
            <w:hideMark/>
          </w:tcPr>
          <w:p w14:paraId="0AAD9A49"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c>
          <w:tcPr>
            <w:tcW w:w="258"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4104AB6D"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c>
          <w:tcPr>
            <w:tcW w:w="551" w:type="pct"/>
            <w:tcBorders>
              <w:top w:val="single" w:sz="4" w:space="0" w:color="auto"/>
              <w:left w:val="single" w:sz="8" w:space="0" w:color="auto"/>
              <w:bottom w:val="single" w:sz="4" w:space="0" w:color="auto"/>
              <w:right w:val="single" w:sz="8" w:space="0" w:color="auto"/>
            </w:tcBorders>
            <w:shd w:val="clear" w:color="auto" w:fill="FFFFFF" w:themeFill="background1"/>
            <w:vAlign w:val="center"/>
            <w:hideMark/>
          </w:tcPr>
          <w:p w14:paraId="6B314452"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457" w:type="pct"/>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5C16E1D1"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r w:rsidRPr="002F07D7">
              <w:rPr>
                <w:rFonts w:ascii="Calibri" w:eastAsia="Times New Roman" w:hAnsi="Calibri" w:cs="Times New Roman"/>
                <w:color w:val="000000"/>
                <w:sz w:val="18"/>
                <w:szCs w:val="18"/>
                <w:highlight w:val="darkGray"/>
                <w:lang w:eastAsia="fr-BE"/>
              </w:rPr>
              <w:t>Migration:</w:t>
            </w:r>
          </w:p>
          <w:p w14:paraId="74E1FBA5"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sz w:val="18"/>
                <w:szCs w:val="18"/>
                <w:lang w:eastAsia="fr-BE"/>
              </w:rPr>
              <w:t>- Cr VI</w:t>
            </w:r>
          </w:p>
        </w:tc>
        <w:tc>
          <w:tcPr>
            <w:tcW w:w="538" w:type="pct"/>
            <w:tcBorders>
              <w:top w:val="nil"/>
              <w:left w:val="single" w:sz="8" w:space="0" w:color="auto"/>
              <w:bottom w:val="single" w:sz="4" w:space="0" w:color="auto"/>
              <w:right w:val="single" w:sz="8" w:space="0" w:color="auto"/>
            </w:tcBorders>
            <w:shd w:val="clear" w:color="auto" w:fill="auto"/>
            <w:vAlign w:val="center"/>
            <w:hideMark/>
          </w:tcPr>
          <w:p w14:paraId="1C7FD84A"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lang w:eastAsia="fr-BE"/>
              </w:rPr>
              <w:t> </w:t>
            </w:r>
          </w:p>
        </w:tc>
      </w:tr>
      <w:tr w:rsidR="002F76CA" w:rsidRPr="003E0810" w14:paraId="5E16A82F" w14:textId="77777777" w:rsidTr="002F76CA">
        <w:trPr>
          <w:trHeight w:val="608"/>
        </w:trPr>
        <w:tc>
          <w:tcPr>
            <w:tcW w:w="331" w:type="pct"/>
            <w:tcBorders>
              <w:top w:val="nil"/>
              <w:left w:val="single" w:sz="8" w:space="0" w:color="auto"/>
              <w:bottom w:val="single" w:sz="4" w:space="0" w:color="auto"/>
              <w:right w:val="single" w:sz="8" w:space="0" w:color="auto"/>
            </w:tcBorders>
            <w:shd w:val="clear" w:color="auto" w:fill="auto"/>
            <w:vAlign w:val="center"/>
          </w:tcPr>
          <w:p w14:paraId="65209A44" w14:textId="77777777" w:rsidR="002F76CA" w:rsidRPr="003E0810" w:rsidRDefault="002F76CA" w:rsidP="002F76CA">
            <w:pPr>
              <w:spacing w:after="0" w:line="240" w:lineRule="auto"/>
              <w:jc w:val="center"/>
              <w:rPr>
                <w:rFonts w:ascii="Calibri" w:eastAsia="Times New Roman" w:hAnsi="Calibri" w:cs="Times New Roman"/>
                <w:color w:val="000000"/>
                <w:lang w:eastAsia="fr-BE"/>
              </w:rPr>
            </w:pPr>
            <w:r>
              <w:rPr>
                <w:rFonts w:ascii="Calibri" w:eastAsia="Times New Roman" w:hAnsi="Calibri" w:cs="Times New Roman"/>
                <w:color w:val="000000"/>
                <w:lang w:eastAsia="fr-BE"/>
              </w:rPr>
              <w:t>2020</w:t>
            </w:r>
          </w:p>
        </w:tc>
        <w:tc>
          <w:tcPr>
            <w:tcW w:w="259" w:type="pct"/>
            <w:tcBorders>
              <w:top w:val="nil"/>
              <w:left w:val="single" w:sz="8" w:space="0" w:color="auto"/>
              <w:bottom w:val="single" w:sz="4" w:space="0" w:color="auto"/>
              <w:right w:val="single" w:sz="8" w:space="0" w:color="auto"/>
            </w:tcBorders>
            <w:shd w:val="clear" w:color="auto" w:fill="auto"/>
            <w:vAlign w:val="center"/>
          </w:tcPr>
          <w:p w14:paraId="2ECB07A2"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263" w:type="pct"/>
            <w:tcBorders>
              <w:top w:val="nil"/>
              <w:left w:val="single" w:sz="8" w:space="0" w:color="auto"/>
              <w:bottom w:val="single" w:sz="4" w:space="0" w:color="auto"/>
              <w:right w:val="single" w:sz="8" w:space="0" w:color="auto"/>
            </w:tcBorders>
            <w:shd w:val="clear" w:color="auto" w:fill="auto"/>
            <w:vAlign w:val="center"/>
          </w:tcPr>
          <w:p w14:paraId="3DF09F07"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426" w:type="pct"/>
            <w:tcBorders>
              <w:top w:val="single" w:sz="8" w:space="0" w:color="000000"/>
              <w:left w:val="nil"/>
              <w:bottom w:val="single" w:sz="4" w:space="0" w:color="auto"/>
              <w:right w:val="single" w:sz="8" w:space="0" w:color="auto"/>
            </w:tcBorders>
            <w:shd w:val="clear" w:color="auto" w:fill="auto"/>
            <w:vAlign w:val="center"/>
          </w:tcPr>
          <w:p w14:paraId="5311ACD4" w14:textId="77777777" w:rsidR="002F76CA" w:rsidRPr="000146D4" w:rsidRDefault="002F76CA" w:rsidP="002F76CA">
            <w:pPr>
              <w:spacing w:after="0" w:line="240" w:lineRule="auto"/>
              <w:rPr>
                <w:rFonts w:ascii="Calibri" w:eastAsia="Times New Roman" w:hAnsi="Calibri" w:cs="Times New Roman"/>
                <w:color w:val="000000"/>
                <w:sz w:val="18"/>
                <w:szCs w:val="18"/>
                <w:lang w:eastAsia="fr-BE"/>
              </w:rPr>
            </w:pPr>
          </w:p>
        </w:tc>
        <w:tc>
          <w:tcPr>
            <w:tcW w:w="303" w:type="pct"/>
            <w:tcBorders>
              <w:top w:val="nil"/>
              <w:left w:val="single" w:sz="8" w:space="0" w:color="auto"/>
              <w:bottom w:val="single" w:sz="4" w:space="0" w:color="auto"/>
              <w:right w:val="single" w:sz="8" w:space="0" w:color="auto"/>
            </w:tcBorders>
            <w:shd w:val="clear" w:color="auto" w:fill="auto"/>
            <w:vAlign w:val="center"/>
          </w:tcPr>
          <w:p w14:paraId="68202053"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572" w:type="pct"/>
            <w:tcBorders>
              <w:top w:val="nil"/>
              <w:left w:val="single" w:sz="8" w:space="0" w:color="auto"/>
              <w:bottom w:val="single" w:sz="4" w:space="0" w:color="auto"/>
              <w:right w:val="single" w:sz="8" w:space="0" w:color="auto"/>
            </w:tcBorders>
            <w:shd w:val="clear" w:color="auto" w:fill="auto"/>
            <w:vAlign w:val="center"/>
          </w:tcPr>
          <w:p w14:paraId="3384EBCA"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263" w:type="pct"/>
            <w:tcBorders>
              <w:top w:val="nil"/>
              <w:left w:val="single" w:sz="8" w:space="0" w:color="auto"/>
              <w:bottom w:val="single" w:sz="4" w:space="0" w:color="auto"/>
              <w:right w:val="single" w:sz="8" w:space="0" w:color="auto"/>
            </w:tcBorders>
            <w:shd w:val="clear" w:color="auto" w:fill="auto"/>
            <w:vAlign w:val="center"/>
          </w:tcPr>
          <w:p w14:paraId="0D5683D8"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508" w:type="pct"/>
            <w:tcBorders>
              <w:top w:val="nil"/>
              <w:left w:val="single" w:sz="8" w:space="0" w:color="auto"/>
              <w:bottom w:val="single" w:sz="4" w:space="0" w:color="auto"/>
              <w:right w:val="single" w:sz="8" w:space="0" w:color="auto"/>
            </w:tcBorders>
            <w:shd w:val="clear" w:color="auto" w:fill="auto"/>
            <w:vAlign w:val="center"/>
          </w:tcPr>
          <w:p w14:paraId="4B0CB8AE"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270" w:type="pct"/>
            <w:tcBorders>
              <w:top w:val="nil"/>
              <w:left w:val="single" w:sz="8" w:space="0" w:color="auto"/>
              <w:bottom w:val="single" w:sz="4" w:space="0" w:color="auto"/>
              <w:right w:val="single" w:sz="8" w:space="0" w:color="auto"/>
            </w:tcBorders>
            <w:shd w:val="clear" w:color="auto" w:fill="auto"/>
            <w:vAlign w:val="center"/>
          </w:tcPr>
          <w:p w14:paraId="4215C26D"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258" w:type="pct"/>
            <w:tcBorders>
              <w:top w:val="single" w:sz="8" w:space="0" w:color="auto"/>
              <w:left w:val="single" w:sz="8" w:space="0" w:color="auto"/>
              <w:bottom w:val="single" w:sz="4" w:space="0" w:color="auto"/>
              <w:right w:val="single" w:sz="8" w:space="0" w:color="auto"/>
            </w:tcBorders>
            <w:shd w:val="clear" w:color="auto" w:fill="auto"/>
            <w:vAlign w:val="center"/>
          </w:tcPr>
          <w:p w14:paraId="57D0B9EB"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551" w:type="pct"/>
            <w:tcBorders>
              <w:top w:val="single" w:sz="4" w:space="0" w:color="auto"/>
              <w:left w:val="single" w:sz="8" w:space="0" w:color="auto"/>
              <w:bottom w:val="single" w:sz="4" w:space="0" w:color="auto"/>
              <w:right w:val="single" w:sz="8" w:space="0" w:color="auto"/>
            </w:tcBorders>
            <w:shd w:val="clear" w:color="auto" w:fill="FFFFFF" w:themeFill="background1"/>
            <w:vAlign w:val="center"/>
          </w:tcPr>
          <w:p w14:paraId="7D7962E7"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457" w:type="pct"/>
            <w:tcBorders>
              <w:top w:val="single" w:sz="4" w:space="0" w:color="auto"/>
              <w:left w:val="single" w:sz="8" w:space="0" w:color="auto"/>
              <w:bottom w:val="single" w:sz="4" w:space="0" w:color="auto"/>
              <w:right w:val="single" w:sz="8" w:space="0" w:color="auto"/>
            </w:tcBorders>
            <w:shd w:val="clear" w:color="auto" w:fill="auto"/>
            <w:vAlign w:val="center"/>
          </w:tcPr>
          <w:p w14:paraId="34D445C2"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538" w:type="pct"/>
            <w:tcBorders>
              <w:top w:val="nil"/>
              <w:left w:val="single" w:sz="8" w:space="0" w:color="auto"/>
              <w:bottom w:val="single" w:sz="4" w:space="0" w:color="auto"/>
              <w:right w:val="single" w:sz="8" w:space="0" w:color="auto"/>
            </w:tcBorders>
            <w:shd w:val="clear" w:color="auto" w:fill="auto"/>
            <w:vAlign w:val="center"/>
          </w:tcPr>
          <w:p w14:paraId="4E84F778" w14:textId="77777777" w:rsidR="002F76CA" w:rsidRPr="003E0810" w:rsidRDefault="002F76CA" w:rsidP="002F76CA">
            <w:pPr>
              <w:spacing w:after="0" w:line="240" w:lineRule="auto"/>
              <w:rPr>
                <w:rFonts w:ascii="Calibri" w:eastAsia="Times New Roman" w:hAnsi="Calibri" w:cs="Times New Roman"/>
                <w:color w:val="000000"/>
                <w:lang w:eastAsia="fr-BE"/>
              </w:rPr>
            </w:pPr>
          </w:p>
        </w:tc>
      </w:tr>
      <w:tr w:rsidR="002F76CA" w:rsidRPr="003E0810" w14:paraId="3ED63819" w14:textId="77777777" w:rsidTr="002F76CA">
        <w:trPr>
          <w:trHeight w:val="306"/>
        </w:trPr>
        <w:tc>
          <w:tcPr>
            <w:tcW w:w="331" w:type="pct"/>
            <w:vMerge w:val="restart"/>
            <w:tcBorders>
              <w:top w:val="nil"/>
              <w:left w:val="single" w:sz="8" w:space="0" w:color="auto"/>
              <w:right w:val="single" w:sz="8" w:space="0" w:color="auto"/>
            </w:tcBorders>
            <w:shd w:val="clear" w:color="auto" w:fill="auto"/>
            <w:vAlign w:val="center"/>
          </w:tcPr>
          <w:p w14:paraId="263EFB00" w14:textId="77777777" w:rsidR="002F76CA" w:rsidRPr="003E0810" w:rsidRDefault="002F76CA" w:rsidP="002F76CA">
            <w:pPr>
              <w:spacing w:after="0" w:line="240" w:lineRule="auto"/>
              <w:jc w:val="center"/>
              <w:rPr>
                <w:rFonts w:ascii="Calibri" w:eastAsia="Times New Roman" w:hAnsi="Calibri" w:cs="Times New Roman"/>
                <w:color w:val="000000"/>
                <w:lang w:eastAsia="fr-BE"/>
              </w:rPr>
            </w:pPr>
            <w:r>
              <w:rPr>
                <w:rFonts w:ascii="Calibri" w:eastAsia="Times New Roman" w:hAnsi="Calibri" w:cs="Times New Roman"/>
                <w:color w:val="000000"/>
                <w:lang w:eastAsia="fr-BE"/>
              </w:rPr>
              <w:t>2021</w:t>
            </w:r>
          </w:p>
        </w:tc>
        <w:tc>
          <w:tcPr>
            <w:tcW w:w="259" w:type="pct"/>
            <w:vMerge w:val="restart"/>
            <w:tcBorders>
              <w:top w:val="nil"/>
              <w:left w:val="single" w:sz="8" w:space="0" w:color="auto"/>
              <w:right w:val="single" w:sz="8" w:space="0" w:color="auto"/>
            </w:tcBorders>
            <w:shd w:val="clear" w:color="auto" w:fill="auto"/>
            <w:vAlign w:val="center"/>
          </w:tcPr>
          <w:p w14:paraId="5930065D"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263" w:type="pct"/>
            <w:vMerge w:val="restart"/>
            <w:tcBorders>
              <w:top w:val="nil"/>
              <w:left w:val="single" w:sz="8" w:space="0" w:color="auto"/>
              <w:right w:val="single" w:sz="8" w:space="0" w:color="auto"/>
            </w:tcBorders>
            <w:shd w:val="clear" w:color="auto" w:fill="auto"/>
            <w:vAlign w:val="center"/>
          </w:tcPr>
          <w:p w14:paraId="2271160C"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426" w:type="pct"/>
            <w:vMerge w:val="restart"/>
            <w:tcBorders>
              <w:top w:val="single" w:sz="8" w:space="0" w:color="000000"/>
              <w:left w:val="nil"/>
              <w:right w:val="single" w:sz="8" w:space="0" w:color="auto"/>
            </w:tcBorders>
            <w:shd w:val="clear" w:color="auto" w:fill="auto"/>
            <w:vAlign w:val="center"/>
          </w:tcPr>
          <w:p w14:paraId="6767924A" w14:textId="77777777" w:rsidR="002F76CA" w:rsidRPr="000146D4" w:rsidRDefault="002F76CA" w:rsidP="002F76CA">
            <w:pPr>
              <w:spacing w:after="0" w:line="240" w:lineRule="auto"/>
              <w:rPr>
                <w:rFonts w:ascii="Calibri" w:eastAsia="Times New Roman" w:hAnsi="Calibri" w:cs="Times New Roman"/>
                <w:color w:val="000000"/>
                <w:sz w:val="18"/>
                <w:szCs w:val="18"/>
                <w:lang w:eastAsia="fr-BE"/>
              </w:rPr>
            </w:pPr>
          </w:p>
        </w:tc>
        <w:tc>
          <w:tcPr>
            <w:tcW w:w="303" w:type="pct"/>
            <w:vMerge w:val="restart"/>
            <w:tcBorders>
              <w:top w:val="nil"/>
              <w:left w:val="single" w:sz="8" w:space="0" w:color="auto"/>
              <w:right w:val="single" w:sz="8" w:space="0" w:color="auto"/>
            </w:tcBorders>
            <w:shd w:val="clear" w:color="auto" w:fill="auto"/>
            <w:vAlign w:val="center"/>
          </w:tcPr>
          <w:p w14:paraId="0B64091D"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572" w:type="pct"/>
            <w:tcBorders>
              <w:top w:val="nil"/>
              <w:left w:val="single" w:sz="8" w:space="0" w:color="auto"/>
              <w:bottom w:val="single" w:sz="4" w:space="0" w:color="auto"/>
              <w:right w:val="single" w:sz="8" w:space="0" w:color="auto"/>
            </w:tcBorders>
            <w:shd w:val="clear" w:color="auto" w:fill="D9D9D9"/>
            <w:vAlign w:val="center"/>
          </w:tcPr>
          <w:p w14:paraId="17BE440D" w14:textId="77777777" w:rsidR="002F76CA" w:rsidRPr="003E0810" w:rsidRDefault="002F76CA" w:rsidP="002F76CA">
            <w:pPr>
              <w:shd w:val="clear" w:color="auto" w:fill="D9D9D9" w:themeFill="background1" w:themeFillShade="D9"/>
              <w:spacing w:after="0" w:line="240" w:lineRule="auto"/>
              <w:rPr>
                <w:rFonts w:ascii="Calibri" w:eastAsia="Times New Roman" w:hAnsi="Calibri" w:cs="Times New Roman"/>
                <w:color w:val="000000"/>
                <w:lang w:eastAsia="fr-BE"/>
              </w:rPr>
            </w:pPr>
            <w:r w:rsidRPr="002F07D7">
              <w:rPr>
                <w:rFonts w:ascii="Calibri" w:eastAsia="Times New Roman" w:hAnsi="Calibri" w:cs="Times New Roman"/>
                <w:color w:val="000000"/>
                <w:sz w:val="18"/>
                <w:szCs w:val="18"/>
                <w:highlight w:val="darkGray"/>
                <w:lang w:eastAsia="fr-BE"/>
              </w:rPr>
              <w:t>Migration:</w:t>
            </w:r>
          </w:p>
          <w:p w14:paraId="79456822" w14:textId="77777777" w:rsidR="002F76CA" w:rsidRPr="003E0810" w:rsidRDefault="002F76CA" w:rsidP="002F76CA">
            <w:pPr>
              <w:spacing w:after="0" w:line="240" w:lineRule="auto"/>
              <w:rPr>
                <w:rFonts w:ascii="Calibri" w:eastAsia="Times New Roman" w:hAnsi="Calibri" w:cs="Times New Roman"/>
                <w:color w:val="000000"/>
                <w:lang w:eastAsia="fr-BE"/>
              </w:rPr>
            </w:pPr>
            <w:r w:rsidRPr="003E0810">
              <w:rPr>
                <w:rFonts w:ascii="Calibri" w:eastAsia="Times New Roman" w:hAnsi="Calibri" w:cs="Times New Roman"/>
                <w:color w:val="000000"/>
                <w:sz w:val="18"/>
                <w:szCs w:val="18"/>
                <w:lang w:eastAsia="fr-BE"/>
              </w:rPr>
              <w:t xml:space="preserve">- </w:t>
            </w:r>
            <w:r>
              <w:rPr>
                <w:rFonts w:ascii="Calibri" w:eastAsia="Times New Roman" w:hAnsi="Calibri" w:cs="Times New Roman"/>
                <w:color w:val="000000"/>
                <w:sz w:val="18"/>
                <w:szCs w:val="18"/>
                <w:lang w:eastAsia="fr-BE"/>
              </w:rPr>
              <w:t>Aluminium</w:t>
            </w:r>
          </w:p>
        </w:tc>
        <w:tc>
          <w:tcPr>
            <w:tcW w:w="263" w:type="pct"/>
            <w:vMerge w:val="restart"/>
            <w:tcBorders>
              <w:top w:val="nil"/>
              <w:left w:val="single" w:sz="8" w:space="0" w:color="auto"/>
              <w:right w:val="single" w:sz="8" w:space="0" w:color="auto"/>
            </w:tcBorders>
            <w:shd w:val="clear" w:color="auto" w:fill="auto"/>
            <w:vAlign w:val="center"/>
          </w:tcPr>
          <w:p w14:paraId="76B8D024"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508" w:type="pct"/>
            <w:vMerge w:val="restart"/>
            <w:tcBorders>
              <w:top w:val="nil"/>
              <w:left w:val="single" w:sz="8" w:space="0" w:color="auto"/>
              <w:right w:val="single" w:sz="8" w:space="0" w:color="auto"/>
            </w:tcBorders>
            <w:shd w:val="clear" w:color="auto" w:fill="auto"/>
            <w:vAlign w:val="center"/>
          </w:tcPr>
          <w:p w14:paraId="2B15F595"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270" w:type="pct"/>
            <w:vMerge w:val="restart"/>
            <w:tcBorders>
              <w:top w:val="nil"/>
              <w:left w:val="single" w:sz="8" w:space="0" w:color="auto"/>
              <w:right w:val="single" w:sz="8" w:space="0" w:color="auto"/>
            </w:tcBorders>
            <w:shd w:val="clear" w:color="auto" w:fill="auto"/>
            <w:vAlign w:val="center"/>
          </w:tcPr>
          <w:p w14:paraId="047B1C64"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258" w:type="pct"/>
            <w:vMerge w:val="restart"/>
            <w:tcBorders>
              <w:top w:val="single" w:sz="8" w:space="0" w:color="auto"/>
              <w:left w:val="single" w:sz="8" w:space="0" w:color="auto"/>
              <w:right w:val="single" w:sz="8" w:space="0" w:color="auto"/>
            </w:tcBorders>
            <w:shd w:val="clear" w:color="auto" w:fill="auto"/>
            <w:vAlign w:val="center"/>
          </w:tcPr>
          <w:p w14:paraId="01FCD1D8"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551" w:type="pct"/>
            <w:vMerge w:val="restart"/>
            <w:tcBorders>
              <w:top w:val="single" w:sz="4" w:space="0" w:color="auto"/>
              <w:left w:val="single" w:sz="8" w:space="0" w:color="auto"/>
              <w:right w:val="single" w:sz="8" w:space="0" w:color="auto"/>
            </w:tcBorders>
            <w:shd w:val="clear" w:color="auto" w:fill="FFFFFF" w:themeFill="background1"/>
            <w:vAlign w:val="center"/>
          </w:tcPr>
          <w:p w14:paraId="5B0AF0B5"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457" w:type="pct"/>
            <w:vMerge w:val="restart"/>
            <w:tcBorders>
              <w:top w:val="single" w:sz="4" w:space="0" w:color="auto"/>
              <w:left w:val="single" w:sz="8" w:space="0" w:color="auto"/>
              <w:right w:val="single" w:sz="8" w:space="0" w:color="auto"/>
            </w:tcBorders>
            <w:shd w:val="clear" w:color="auto" w:fill="auto"/>
            <w:vAlign w:val="center"/>
          </w:tcPr>
          <w:p w14:paraId="4DC13429"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538" w:type="pct"/>
            <w:vMerge w:val="restart"/>
            <w:tcBorders>
              <w:top w:val="nil"/>
              <w:left w:val="single" w:sz="8" w:space="0" w:color="auto"/>
              <w:right w:val="single" w:sz="8" w:space="0" w:color="auto"/>
            </w:tcBorders>
            <w:shd w:val="clear" w:color="auto" w:fill="auto"/>
            <w:vAlign w:val="center"/>
          </w:tcPr>
          <w:p w14:paraId="07FAE2AA" w14:textId="77777777" w:rsidR="002F76CA" w:rsidRPr="003E0810" w:rsidRDefault="002F76CA" w:rsidP="002F76CA">
            <w:pPr>
              <w:spacing w:after="0" w:line="240" w:lineRule="auto"/>
              <w:rPr>
                <w:rFonts w:ascii="Calibri" w:eastAsia="Times New Roman" w:hAnsi="Calibri" w:cs="Times New Roman"/>
                <w:color w:val="000000"/>
                <w:lang w:eastAsia="fr-BE"/>
              </w:rPr>
            </w:pPr>
          </w:p>
        </w:tc>
      </w:tr>
      <w:tr w:rsidR="002F76CA" w:rsidRPr="003E0810" w14:paraId="094BA298" w14:textId="77777777" w:rsidTr="002F76CA">
        <w:trPr>
          <w:trHeight w:val="306"/>
        </w:trPr>
        <w:tc>
          <w:tcPr>
            <w:tcW w:w="331" w:type="pct"/>
            <w:vMerge/>
            <w:tcBorders>
              <w:left w:val="single" w:sz="8" w:space="0" w:color="auto"/>
              <w:bottom w:val="single" w:sz="4" w:space="0" w:color="auto"/>
              <w:right w:val="single" w:sz="8" w:space="0" w:color="auto"/>
            </w:tcBorders>
            <w:shd w:val="clear" w:color="auto" w:fill="auto"/>
            <w:vAlign w:val="center"/>
          </w:tcPr>
          <w:p w14:paraId="3B32F498" w14:textId="77777777" w:rsidR="002F76CA" w:rsidRDefault="002F76CA" w:rsidP="002F76CA">
            <w:pPr>
              <w:spacing w:after="0" w:line="240" w:lineRule="auto"/>
              <w:jc w:val="center"/>
              <w:rPr>
                <w:rFonts w:ascii="Calibri" w:eastAsia="Times New Roman" w:hAnsi="Calibri" w:cs="Times New Roman"/>
                <w:color w:val="000000"/>
                <w:lang w:eastAsia="fr-BE"/>
              </w:rPr>
            </w:pPr>
          </w:p>
        </w:tc>
        <w:tc>
          <w:tcPr>
            <w:tcW w:w="259" w:type="pct"/>
            <w:vMerge/>
            <w:tcBorders>
              <w:left w:val="single" w:sz="8" w:space="0" w:color="auto"/>
              <w:bottom w:val="single" w:sz="4" w:space="0" w:color="auto"/>
              <w:right w:val="single" w:sz="8" w:space="0" w:color="auto"/>
            </w:tcBorders>
            <w:shd w:val="clear" w:color="auto" w:fill="auto"/>
            <w:vAlign w:val="center"/>
          </w:tcPr>
          <w:p w14:paraId="2CDE3912"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263" w:type="pct"/>
            <w:vMerge/>
            <w:tcBorders>
              <w:left w:val="single" w:sz="8" w:space="0" w:color="auto"/>
              <w:bottom w:val="single" w:sz="4" w:space="0" w:color="auto"/>
              <w:right w:val="single" w:sz="8" w:space="0" w:color="auto"/>
            </w:tcBorders>
            <w:shd w:val="clear" w:color="auto" w:fill="auto"/>
            <w:vAlign w:val="center"/>
          </w:tcPr>
          <w:p w14:paraId="644036D0"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426" w:type="pct"/>
            <w:vMerge/>
            <w:tcBorders>
              <w:left w:val="nil"/>
              <w:bottom w:val="single" w:sz="4" w:space="0" w:color="auto"/>
              <w:right w:val="single" w:sz="8" w:space="0" w:color="auto"/>
            </w:tcBorders>
            <w:shd w:val="clear" w:color="auto" w:fill="auto"/>
            <w:vAlign w:val="center"/>
          </w:tcPr>
          <w:p w14:paraId="0E83AA26" w14:textId="77777777" w:rsidR="002F76CA" w:rsidRPr="000146D4" w:rsidRDefault="002F76CA" w:rsidP="002F76CA">
            <w:pPr>
              <w:spacing w:after="0" w:line="240" w:lineRule="auto"/>
              <w:rPr>
                <w:rFonts w:ascii="Calibri" w:eastAsia="Times New Roman" w:hAnsi="Calibri" w:cs="Times New Roman"/>
                <w:color w:val="000000"/>
                <w:sz w:val="18"/>
                <w:szCs w:val="18"/>
                <w:lang w:eastAsia="fr-BE"/>
              </w:rPr>
            </w:pPr>
          </w:p>
        </w:tc>
        <w:tc>
          <w:tcPr>
            <w:tcW w:w="303" w:type="pct"/>
            <w:vMerge/>
            <w:tcBorders>
              <w:left w:val="single" w:sz="8" w:space="0" w:color="auto"/>
              <w:bottom w:val="single" w:sz="4" w:space="0" w:color="auto"/>
              <w:right w:val="single" w:sz="8" w:space="0" w:color="auto"/>
            </w:tcBorders>
            <w:shd w:val="clear" w:color="auto" w:fill="auto"/>
            <w:vAlign w:val="center"/>
          </w:tcPr>
          <w:p w14:paraId="6C232C73"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572" w:type="pct"/>
            <w:tcBorders>
              <w:top w:val="nil"/>
              <w:left w:val="single" w:sz="8" w:space="0" w:color="auto"/>
              <w:bottom w:val="single" w:sz="4" w:space="0" w:color="auto"/>
              <w:right w:val="single" w:sz="8" w:space="0" w:color="auto"/>
            </w:tcBorders>
            <w:shd w:val="clear" w:color="auto" w:fill="FFE699"/>
            <w:vAlign w:val="center"/>
          </w:tcPr>
          <w:p w14:paraId="1C6D1DE8" w14:textId="77777777" w:rsidR="002F76CA" w:rsidRPr="00AE33B6" w:rsidRDefault="002F76CA" w:rsidP="002F76CA">
            <w:pPr>
              <w:spacing w:after="0" w:line="240" w:lineRule="auto"/>
              <w:rPr>
                <w:rFonts w:ascii="Calibri" w:eastAsia="Times New Roman" w:hAnsi="Calibri" w:cs="Times New Roman"/>
                <w:color w:val="000000"/>
                <w:sz w:val="18"/>
                <w:szCs w:val="18"/>
                <w:highlight w:val="yellow"/>
                <w:lang w:eastAsia="fr-BE"/>
              </w:rPr>
            </w:pPr>
            <w:r w:rsidRPr="003E0810">
              <w:rPr>
                <w:rFonts w:ascii="Calibri" w:eastAsia="Times New Roman" w:hAnsi="Calibri" w:cs="Times New Roman"/>
                <w:color w:val="000000"/>
                <w:sz w:val="18"/>
                <w:szCs w:val="18"/>
                <w:highlight w:val="yellow"/>
                <w:lang w:eastAsia="fr-BE"/>
              </w:rPr>
              <w:t xml:space="preserve">App </w:t>
            </w:r>
            <w:r w:rsidRPr="00AE33B6">
              <w:rPr>
                <w:rFonts w:ascii="Calibri" w:eastAsia="Times New Roman" w:hAnsi="Calibri" w:cs="Times New Roman"/>
                <w:color w:val="000000"/>
                <w:sz w:val="18"/>
                <w:szCs w:val="18"/>
                <w:highlight w:val="yellow"/>
                <w:lang w:eastAsia="fr-BE"/>
              </w:rPr>
              <w:t>C :</w:t>
            </w:r>
          </w:p>
          <w:p w14:paraId="212116F0" w14:textId="77777777" w:rsidR="002F76CA" w:rsidRPr="003E0810" w:rsidRDefault="002F76CA" w:rsidP="002F76CA">
            <w:pPr>
              <w:spacing w:after="0" w:line="240" w:lineRule="auto"/>
              <w:rPr>
                <w:rFonts w:ascii="Calibri" w:eastAsia="Times New Roman" w:hAnsi="Calibri" w:cs="Times New Roman"/>
                <w:color w:val="000000"/>
                <w:lang w:eastAsia="fr-BE"/>
              </w:rPr>
            </w:pPr>
            <w:r w:rsidRPr="00AE33B6">
              <w:rPr>
                <w:rFonts w:ascii="Calibri" w:eastAsia="Times New Roman" w:hAnsi="Calibri" w:cs="Times New Roman"/>
                <w:color w:val="000000"/>
                <w:sz w:val="18"/>
                <w:szCs w:val="18"/>
                <w:lang w:eastAsia="fr-BE"/>
              </w:rPr>
              <w:t>Formaldehyde</w:t>
            </w:r>
          </w:p>
        </w:tc>
        <w:tc>
          <w:tcPr>
            <w:tcW w:w="263" w:type="pct"/>
            <w:vMerge/>
            <w:tcBorders>
              <w:left w:val="single" w:sz="8" w:space="0" w:color="auto"/>
              <w:bottom w:val="single" w:sz="4" w:space="0" w:color="auto"/>
              <w:right w:val="single" w:sz="8" w:space="0" w:color="auto"/>
            </w:tcBorders>
            <w:shd w:val="clear" w:color="auto" w:fill="auto"/>
            <w:vAlign w:val="center"/>
          </w:tcPr>
          <w:p w14:paraId="0D79BDDF"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508" w:type="pct"/>
            <w:vMerge/>
            <w:tcBorders>
              <w:left w:val="single" w:sz="8" w:space="0" w:color="auto"/>
              <w:bottom w:val="single" w:sz="4" w:space="0" w:color="auto"/>
              <w:right w:val="single" w:sz="8" w:space="0" w:color="auto"/>
            </w:tcBorders>
            <w:shd w:val="clear" w:color="auto" w:fill="auto"/>
            <w:vAlign w:val="center"/>
          </w:tcPr>
          <w:p w14:paraId="1275CED5"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270" w:type="pct"/>
            <w:vMerge/>
            <w:tcBorders>
              <w:left w:val="single" w:sz="8" w:space="0" w:color="auto"/>
              <w:bottom w:val="single" w:sz="4" w:space="0" w:color="auto"/>
              <w:right w:val="single" w:sz="8" w:space="0" w:color="auto"/>
            </w:tcBorders>
            <w:shd w:val="clear" w:color="auto" w:fill="auto"/>
            <w:vAlign w:val="center"/>
          </w:tcPr>
          <w:p w14:paraId="4C8C8B68"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258" w:type="pct"/>
            <w:vMerge/>
            <w:tcBorders>
              <w:left w:val="single" w:sz="8" w:space="0" w:color="auto"/>
              <w:bottom w:val="single" w:sz="4" w:space="0" w:color="auto"/>
              <w:right w:val="single" w:sz="8" w:space="0" w:color="auto"/>
            </w:tcBorders>
            <w:shd w:val="clear" w:color="auto" w:fill="auto"/>
            <w:vAlign w:val="center"/>
          </w:tcPr>
          <w:p w14:paraId="46CD004E"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551" w:type="pct"/>
            <w:vMerge/>
            <w:tcBorders>
              <w:left w:val="single" w:sz="8" w:space="0" w:color="auto"/>
              <w:bottom w:val="single" w:sz="4" w:space="0" w:color="auto"/>
              <w:right w:val="single" w:sz="8" w:space="0" w:color="auto"/>
            </w:tcBorders>
            <w:shd w:val="clear" w:color="auto" w:fill="FFFFFF" w:themeFill="background1"/>
            <w:vAlign w:val="center"/>
          </w:tcPr>
          <w:p w14:paraId="41917CEA"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457" w:type="pct"/>
            <w:vMerge/>
            <w:tcBorders>
              <w:left w:val="single" w:sz="8" w:space="0" w:color="auto"/>
              <w:bottom w:val="single" w:sz="4" w:space="0" w:color="auto"/>
              <w:right w:val="single" w:sz="8" w:space="0" w:color="auto"/>
            </w:tcBorders>
            <w:shd w:val="clear" w:color="auto" w:fill="auto"/>
            <w:vAlign w:val="center"/>
          </w:tcPr>
          <w:p w14:paraId="0571E8EA"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538" w:type="pct"/>
            <w:vMerge/>
            <w:tcBorders>
              <w:left w:val="single" w:sz="8" w:space="0" w:color="auto"/>
              <w:bottom w:val="single" w:sz="4" w:space="0" w:color="auto"/>
              <w:right w:val="single" w:sz="8" w:space="0" w:color="auto"/>
            </w:tcBorders>
            <w:shd w:val="clear" w:color="auto" w:fill="auto"/>
            <w:vAlign w:val="center"/>
          </w:tcPr>
          <w:p w14:paraId="7E010C8E" w14:textId="77777777" w:rsidR="002F76CA" w:rsidRPr="003E0810" w:rsidRDefault="002F76CA" w:rsidP="002F76CA">
            <w:pPr>
              <w:spacing w:after="0" w:line="240" w:lineRule="auto"/>
              <w:rPr>
                <w:rFonts w:ascii="Calibri" w:eastAsia="Times New Roman" w:hAnsi="Calibri" w:cs="Times New Roman"/>
                <w:color w:val="000000"/>
                <w:lang w:eastAsia="fr-BE"/>
              </w:rPr>
            </w:pPr>
          </w:p>
        </w:tc>
      </w:tr>
      <w:tr w:rsidR="002F76CA" w:rsidRPr="003E0810" w14:paraId="1BAC52AA" w14:textId="77777777" w:rsidTr="00E426E7">
        <w:trPr>
          <w:trHeight w:val="306"/>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14:paraId="220A69F3" w14:textId="44A78725" w:rsidR="002F76CA" w:rsidRDefault="002F76CA" w:rsidP="002F76CA">
            <w:pPr>
              <w:spacing w:after="0" w:line="240" w:lineRule="auto"/>
              <w:jc w:val="center"/>
              <w:rPr>
                <w:rFonts w:ascii="Calibri" w:eastAsia="Times New Roman" w:hAnsi="Calibri" w:cs="Times New Roman"/>
                <w:color w:val="000000"/>
                <w:lang w:eastAsia="fr-BE"/>
              </w:rPr>
            </w:pPr>
            <w:r>
              <w:rPr>
                <w:rFonts w:ascii="Calibri" w:eastAsia="Times New Roman" w:hAnsi="Calibri" w:cs="Times New Roman"/>
                <w:color w:val="000000"/>
                <w:lang w:eastAsia="fr-BE"/>
              </w:rPr>
              <w:t>2022</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tcPr>
          <w:p w14:paraId="048F57F6"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0A2E3331"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296E8278" w14:textId="77777777" w:rsidR="002F76CA" w:rsidRPr="000146D4" w:rsidRDefault="002F76CA" w:rsidP="002F76CA">
            <w:pPr>
              <w:spacing w:after="0" w:line="240" w:lineRule="auto"/>
              <w:rPr>
                <w:rFonts w:ascii="Calibri" w:eastAsia="Times New Roman" w:hAnsi="Calibri" w:cs="Times New Roman"/>
                <w:color w:val="000000"/>
                <w:sz w:val="18"/>
                <w:szCs w:val="18"/>
                <w:lang w:eastAsia="fr-BE"/>
              </w:rPr>
            </w:pP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0F8FFAC1"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38AB1" w14:textId="77777777" w:rsidR="002F76CA" w:rsidRPr="002F76CA" w:rsidRDefault="002F76CA" w:rsidP="002F76CA">
            <w:pPr>
              <w:spacing w:after="0" w:line="240" w:lineRule="auto"/>
              <w:rPr>
                <w:rFonts w:ascii="Calibri" w:eastAsia="Times New Roman" w:hAnsi="Calibri" w:cs="Times New Roman"/>
                <w:color w:val="000000"/>
                <w:sz w:val="18"/>
                <w:szCs w:val="18"/>
                <w:lang w:eastAsia="fr-BE"/>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343C7434" w14:textId="77777777" w:rsidR="002F76CA" w:rsidRPr="002F76CA" w:rsidRDefault="002F76CA" w:rsidP="002F76CA">
            <w:pPr>
              <w:spacing w:after="0" w:line="240" w:lineRule="auto"/>
              <w:rPr>
                <w:rFonts w:ascii="Calibri" w:eastAsia="Times New Roman" w:hAnsi="Calibri" w:cs="Times New Roman"/>
                <w:color w:val="000000"/>
                <w:lang w:eastAsia="fr-BE"/>
              </w:rPr>
            </w:pPr>
          </w:p>
        </w:tc>
        <w:tc>
          <w:tcPr>
            <w:tcW w:w="508"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0E42C8CF" w14:textId="43A341B7" w:rsidR="002F76CA" w:rsidRPr="002F76CA" w:rsidRDefault="002F76CA" w:rsidP="002F76CA">
            <w:pPr>
              <w:spacing w:after="0" w:line="240" w:lineRule="auto"/>
              <w:rPr>
                <w:rFonts w:ascii="Calibri" w:eastAsia="Times New Roman" w:hAnsi="Calibri" w:cs="Times New Roman"/>
                <w:color w:val="000000"/>
                <w:sz w:val="18"/>
                <w:szCs w:val="18"/>
                <w:lang w:eastAsia="fr-BE"/>
              </w:rPr>
            </w:pPr>
            <w:r w:rsidRPr="002F76CA">
              <w:rPr>
                <w:rFonts w:ascii="Calibri" w:eastAsia="Times New Roman" w:hAnsi="Calibri" w:cs="Times New Roman"/>
                <w:color w:val="000000"/>
                <w:sz w:val="18"/>
                <w:szCs w:val="18"/>
                <w:lang w:eastAsia="fr-BE"/>
              </w:rPr>
              <w:t>Fragrances</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31E5F7A"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F41A097"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5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BA8F76"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14:paraId="271E43BD" w14:textId="77777777" w:rsidR="002F76CA" w:rsidRPr="003E0810" w:rsidRDefault="002F76CA" w:rsidP="002F76CA">
            <w:pPr>
              <w:spacing w:after="0" w:line="240" w:lineRule="auto"/>
              <w:rPr>
                <w:rFonts w:ascii="Calibri" w:eastAsia="Times New Roman" w:hAnsi="Calibri" w:cs="Times New Roman"/>
                <w:color w:val="000000"/>
                <w:lang w:eastAsia="fr-BE"/>
              </w:rPr>
            </w:pPr>
          </w:p>
        </w:tc>
        <w:tc>
          <w:tcPr>
            <w:tcW w:w="538" w:type="pct"/>
            <w:tcBorders>
              <w:top w:val="single" w:sz="4" w:space="0" w:color="auto"/>
              <w:left w:val="single" w:sz="4" w:space="0" w:color="auto"/>
              <w:bottom w:val="single" w:sz="4" w:space="0" w:color="auto"/>
              <w:right w:val="single" w:sz="4" w:space="0" w:color="auto"/>
            </w:tcBorders>
            <w:shd w:val="clear" w:color="auto" w:fill="FFE699"/>
            <w:vAlign w:val="center"/>
          </w:tcPr>
          <w:p w14:paraId="1EA36579" w14:textId="77777777" w:rsidR="00E426E7" w:rsidRPr="00AE33B6" w:rsidRDefault="00E426E7" w:rsidP="00E426E7">
            <w:pPr>
              <w:spacing w:after="0" w:line="240" w:lineRule="auto"/>
              <w:rPr>
                <w:rFonts w:ascii="Calibri" w:eastAsia="Times New Roman" w:hAnsi="Calibri" w:cs="Times New Roman"/>
                <w:color w:val="000000"/>
                <w:sz w:val="18"/>
                <w:szCs w:val="18"/>
                <w:highlight w:val="yellow"/>
                <w:lang w:eastAsia="fr-BE"/>
              </w:rPr>
            </w:pPr>
            <w:r w:rsidRPr="003E0810">
              <w:rPr>
                <w:rFonts w:ascii="Calibri" w:eastAsia="Times New Roman" w:hAnsi="Calibri" w:cs="Times New Roman"/>
                <w:color w:val="000000"/>
                <w:sz w:val="18"/>
                <w:szCs w:val="18"/>
                <w:highlight w:val="yellow"/>
                <w:lang w:eastAsia="fr-BE"/>
              </w:rPr>
              <w:t xml:space="preserve">App </w:t>
            </w:r>
            <w:r w:rsidRPr="00AE33B6">
              <w:rPr>
                <w:rFonts w:ascii="Calibri" w:eastAsia="Times New Roman" w:hAnsi="Calibri" w:cs="Times New Roman"/>
                <w:color w:val="000000"/>
                <w:sz w:val="18"/>
                <w:szCs w:val="18"/>
                <w:highlight w:val="yellow"/>
                <w:lang w:eastAsia="fr-BE"/>
              </w:rPr>
              <w:t>C :</w:t>
            </w:r>
          </w:p>
          <w:p w14:paraId="4F196108" w14:textId="4604168E" w:rsidR="002F76CA" w:rsidRPr="003E0810" w:rsidRDefault="00E426E7" w:rsidP="00E426E7">
            <w:pPr>
              <w:spacing w:after="0" w:line="240" w:lineRule="auto"/>
              <w:rPr>
                <w:rFonts w:ascii="Calibri" w:eastAsia="Times New Roman" w:hAnsi="Calibri" w:cs="Times New Roman"/>
                <w:color w:val="000000"/>
                <w:lang w:eastAsia="fr-BE"/>
              </w:rPr>
            </w:pPr>
            <w:r>
              <w:rPr>
                <w:rFonts w:ascii="Calibri" w:eastAsia="Times New Roman" w:hAnsi="Calibri" w:cs="Times New Roman"/>
                <w:color w:val="000000"/>
                <w:sz w:val="18"/>
                <w:szCs w:val="18"/>
                <w:lang w:eastAsia="fr-BE"/>
              </w:rPr>
              <w:t>Aniline</w:t>
            </w:r>
          </w:p>
        </w:tc>
      </w:tr>
    </w:tbl>
    <w:p w14:paraId="549E407A" w14:textId="77777777" w:rsidR="002F76CA" w:rsidRDefault="002F76CA" w:rsidP="000D52A7">
      <w:pPr>
        <w:spacing w:after="0" w:line="240" w:lineRule="auto"/>
        <w:jc w:val="both"/>
        <w:rPr>
          <w:b/>
          <w:color w:val="FF0000"/>
          <w:lang w:val="en-GB"/>
        </w:rPr>
      </w:pPr>
    </w:p>
    <w:p w14:paraId="236C33EC" w14:textId="77777777" w:rsidR="004574D7" w:rsidRPr="004574D7" w:rsidRDefault="004574D7" w:rsidP="008F45A1">
      <w:pPr>
        <w:spacing w:after="0" w:line="240" w:lineRule="auto"/>
        <w:rPr>
          <w:b/>
          <w:lang w:val="en-GB"/>
        </w:rPr>
      </w:pPr>
    </w:p>
    <w:p w14:paraId="0910AFBE" w14:textId="77777777" w:rsidR="008118FB" w:rsidRPr="009F6522" w:rsidRDefault="008118FB" w:rsidP="00803153">
      <w:pPr>
        <w:shd w:val="clear" w:color="auto" w:fill="00FF00"/>
        <w:spacing w:after="0" w:line="240" w:lineRule="auto"/>
        <w:rPr>
          <w:b/>
          <w:u w:val="single"/>
          <w:lang w:val="en-GB"/>
        </w:rPr>
      </w:pPr>
      <w:r w:rsidRPr="009F6522">
        <w:rPr>
          <w:b/>
          <w:highlight w:val="green"/>
          <w:u w:val="single"/>
          <w:lang w:val="en-GB"/>
        </w:rPr>
        <w:t>Appendix A:</w:t>
      </w:r>
    </w:p>
    <w:p w14:paraId="6032B8AE" w14:textId="77777777" w:rsidR="00A26845" w:rsidRDefault="00A26845" w:rsidP="008F45A1">
      <w:pPr>
        <w:spacing w:after="0" w:line="240" w:lineRule="auto"/>
        <w:rPr>
          <w:lang w:val="en-GB"/>
        </w:rPr>
      </w:pPr>
    </w:p>
    <w:p w14:paraId="14E3CEF2" w14:textId="77777777" w:rsidR="008118FB" w:rsidRDefault="008118FB" w:rsidP="008F45A1">
      <w:pPr>
        <w:spacing w:after="0" w:line="240" w:lineRule="auto"/>
        <w:rPr>
          <w:lang w:val="en-GB"/>
        </w:rPr>
      </w:pPr>
      <w:r w:rsidRPr="008118FB">
        <w:rPr>
          <w:lang w:val="en-GB"/>
        </w:rPr>
        <w:t xml:space="preserve">The </w:t>
      </w:r>
      <w:hyperlink r:id="rId8" w:history="1">
        <w:r w:rsidR="008075EA" w:rsidRPr="008075EA">
          <w:rPr>
            <w:rStyle w:val="Lienhypertexte"/>
            <w:lang w:val="en-GB"/>
          </w:rPr>
          <w:t xml:space="preserve">Commission </w:t>
        </w:r>
        <w:r w:rsidRPr="008075EA">
          <w:rPr>
            <w:rStyle w:val="Lienhypertexte"/>
            <w:lang w:val="en-GB"/>
          </w:rPr>
          <w:t>Directive</w:t>
        </w:r>
        <w:r w:rsidR="008075EA" w:rsidRPr="008075EA">
          <w:rPr>
            <w:rStyle w:val="Lienhypertexte"/>
            <w:lang w:val="en-GB"/>
          </w:rPr>
          <w:t xml:space="preserve"> 2014/84/EU</w:t>
        </w:r>
      </w:hyperlink>
      <w:r w:rsidRPr="008118FB">
        <w:rPr>
          <w:lang w:val="en-GB"/>
        </w:rPr>
        <w:t xml:space="preserve"> exempting nickel from the CMR requirements for certain uses </w:t>
      </w:r>
      <w:r w:rsidR="008F45A1">
        <w:rPr>
          <w:lang w:val="en-GB"/>
        </w:rPr>
        <w:t xml:space="preserve">in toys (stainless steel and toys intended to conduct an electric current) </w:t>
      </w:r>
      <w:r w:rsidRPr="004447EF">
        <w:rPr>
          <w:b/>
          <w:lang w:val="en-GB"/>
        </w:rPr>
        <w:t>applie</w:t>
      </w:r>
      <w:r w:rsidR="009D15A4">
        <w:rPr>
          <w:b/>
          <w:lang w:val="en-GB"/>
        </w:rPr>
        <w:t>s since</w:t>
      </w:r>
      <w:r w:rsidR="00343533" w:rsidRPr="004447EF">
        <w:rPr>
          <w:b/>
          <w:lang w:val="en-GB"/>
        </w:rPr>
        <w:t xml:space="preserve"> July 2015</w:t>
      </w:r>
      <w:r w:rsidR="008F45A1">
        <w:rPr>
          <w:lang w:val="en-GB"/>
        </w:rPr>
        <w:t>.</w:t>
      </w:r>
    </w:p>
    <w:p w14:paraId="17479526" w14:textId="77777777" w:rsidR="0084358D" w:rsidRDefault="0084358D" w:rsidP="008F45A1">
      <w:pPr>
        <w:spacing w:after="0" w:line="240" w:lineRule="auto"/>
        <w:rPr>
          <w:b/>
          <w:u w:val="single"/>
          <w:lang w:val="en-GB"/>
        </w:rPr>
      </w:pPr>
    </w:p>
    <w:p w14:paraId="69A2979F" w14:textId="61A1C642" w:rsidR="000D52A7" w:rsidRDefault="00735888" w:rsidP="008F45A1">
      <w:pPr>
        <w:spacing w:after="0" w:line="240" w:lineRule="auto"/>
        <w:rPr>
          <w:bCs/>
          <w:lang w:val="en-GB"/>
        </w:rPr>
      </w:pPr>
      <w:r w:rsidRPr="00FB5058">
        <w:rPr>
          <w:b/>
          <w:u w:val="single"/>
          <w:lang w:val="en-GB"/>
        </w:rPr>
        <w:t xml:space="preserve">Ongoing </w:t>
      </w:r>
      <w:r>
        <w:rPr>
          <w:b/>
          <w:u w:val="single"/>
          <w:lang w:val="en-GB"/>
        </w:rPr>
        <w:t>initiatives</w:t>
      </w:r>
      <w:r w:rsidRPr="00FB5058">
        <w:rPr>
          <w:b/>
          <w:u w:val="single"/>
          <w:lang w:val="en-GB"/>
        </w:rPr>
        <w:t>:</w:t>
      </w:r>
      <w:r>
        <w:rPr>
          <w:b/>
          <w:u w:val="single"/>
          <w:lang w:val="en-GB"/>
        </w:rPr>
        <w:t xml:space="preserve"> </w:t>
      </w:r>
      <w:r w:rsidR="00843272">
        <w:rPr>
          <w:bCs/>
          <w:lang w:val="en-GB"/>
        </w:rPr>
        <w:t>T</w:t>
      </w:r>
      <w:r>
        <w:rPr>
          <w:bCs/>
          <w:lang w:val="en-GB"/>
        </w:rPr>
        <w:t>itanium dioxide and metallic cobalt request</w:t>
      </w:r>
      <w:r w:rsidR="00843272">
        <w:rPr>
          <w:bCs/>
          <w:lang w:val="en-GB"/>
        </w:rPr>
        <w:t>s</w:t>
      </w:r>
      <w:r>
        <w:rPr>
          <w:bCs/>
          <w:lang w:val="en-GB"/>
        </w:rPr>
        <w:t xml:space="preserve"> for Appendix A </w:t>
      </w:r>
      <w:r w:rsidR="00D16463">
        <w:rPr>
          <w:bCs/>
          <w:lang w:val="en-GB"/>
        </w:rPr>
        <w:t>derogations</w:t>
      </w:r>
    </w:p>
    <w:p w14:paraId="7C915284" w14:textId="561C5D37" w:rsidR="00843272" w:rsidRDefault="00843272" w:rsidP="008F45A1">
      <w:pPr>
        <w:spacing w:after="0" w:line="240" w:lineRule="auto"/>
        <w:rPr>
          <w:b/>
          <w:u w:val="single"/>
          <w:lang w:val="en-GB"/>
        </w:rPr>
      </w:pPr>
    </w:p>
    <w:p w14:paraId="1930D91B" w14:textId="25F362D6" w:rsidR="002F76CA" w:rsidRDefault="002F76CA" w:rsidP="008F45A1">
      <w:pPr>
        <w:spacing w:after="0" w:line="240" w:lineRule="auto"/>
        <w:rPr>
          <w:b/>
          <w:u w:val="single"/>
          <w:lang w:val="en-GB"/>
        </w:rPr>
      </w:pPr>
    </w:p>
    <w:p w14:paraId="05237626" w14:textId="3C785171" w:rsidR="002F76CA" w:rsidRDefault="002F76CA" w:rsidP="008F45A1">
      <w:pPr>
        <w:spacing w:after="0" w:line="240" w:lineRule="auto"/>
        <w:rPr>
          <w:b/>
          <w:u w:val="single"/>
          <w:lang w:val="en-GB"/>
        </w:rPr>
      </w:pPr>
    </w:p>
    <w:p w14:paraId="7604F4D1" w14:textId="77777777" w:rsidR="0084358D" w:rsidRDefault="0084358D" w:rsidP="008F45A1">
      <w:pPr>
        <w:spacing w:after="0" w:line="240" w:lineRule="auto"/>
        <w:rPr>
          <w:b/>
          <w:u w:val="single"/>
          <w:lang w:val="en-GB"/>
        </w:rPr>
      </w:pPr>
    </w:p>
    <w:p w14:paraId="6D0E79C5" w14:textId="77777777" w:rsidR="0084358D" w:rsidRDefault="0084358D" w:rsidP="008F45A1">
      <w:pPr>
        <w:spacing w:after="0" w:line="240" w:lineRule="auto"/>
        <w:rPr>
          <w:b/>
          <w:u w:val="single"/>
          <w:lang w:val="en-GB"/>
        </w:rPr>
      </w:pPr>
    </w:p>
    <w:p w14:paraId="5CCDEEC3" w14:textId="77777777" w:rsidR="0084358D" w:rsidRDefault="0084358D" w:rsidP="008F45A1">
      <w:pPr>
        <w:spacing w:after="0" w:line="240" w:lineRule="auto"/>
        <w:rPr>
          <w:b/>
          <w:u w:val="single"/>
          <w:lang w:val="en-GB"/>
        </w:rPr>
      </w:pPr>
    </w:p>
    <w:p w14:paraId="55F7C92F" w14:textId="77777777" w:rsidR="0084358D" w:rsidRDefault="0084358D" w:rsidP="008F45A1">
      <w:pPr>
        <w:spacing w:after="0" w:line="240" w:lineRule="auto"/>
        <w:rPr>
          <w:b/>
          <w:u w:val="single"/>
          <w:lang w:val="en-GB"/>
        </w:rPr>
      </w:pPr>
    </w:p>
    <w:p w14:paraId="32C8D2A1" w14:textId="77777777" w:rsidR="0084358D" w:rsidRDefault="0084358D" w:rsidP="008F45A1">
      <w:pPr>
        <w:spacing w:after="0" w:line="240" w:lineRule="auto"/>
        <w:rPr>
          <w:b/>
          <w:u w:val="single"/>
          <w:lang w:val="en-GB"/>
        </w:rPr>
      </w:pPr>
    </w:p>
    <w:p w14:paraId="46667029" w14:textId="77777777" w:rsidR="0084358D" w:rsidRDefault="0084358D" w:rsidP="008F45A1">
      <w:pPr>
        <w:spacing w:after="0" w:line="240" w:lineRule="auto"/>
        <w:rPr>
          <w:b/>
          <w:u w:val="single"/>
          <w:lang w:val="en-GB"/>
        </w:rPr>
      </w:pPr>
    </w:p>
    <w:p w14:paraId="351FF47E" w14:textId="77777777" w:rsidR="002F76CA" w:rsidRDefault="008F45A1" w:rsidP="002F76CA">
      <w:pPr>
        <w:shd w:val="clear" w:color="auto" w:fill="FFFF00"/>
        <w:spacing w:after="0" w:line="240" w:lineRule="auto"/>
        <w:rPr>
          <w:b/>
          <w:lang w:val="en-GB"/>
        </w:rPr>
      </w:pPr>
      <w:r w:rsidRPr="008F45A1">
        <w:rPr>
          <w:b/>
          <w:highlight w:val="yellow"/>
          <w:u w:val="single"/>
          <w:lang w:val="en-GB"/>
        </w:rPr>
        <w:lastRenderedPageBreak/>
        <w:t>Appendix C:</w:t>
      </w:r>
      <w:r w:rsidR="00F115C1" w:rsidRPr="00F115C1">
        <w:rPr>
          <w:b/>
          <w:lang w:val="en-GB"/>
        </w:rPr>
        <w:t xml:space="preserve"> </w:t>
      </w:r>
    </w:p>
    <w:p w14:paraId="1D9F8D04" w14:textId="64F8BAB7" w:rsidR="008F45A1" w:rsidRDefault="00F115C1" w:rsidP="008F45A1">
      <w:pPr>
        <w:spacing w:after="0" w:line="240" w:lineRule="auto"/>
        <w:rPr>
          <w:lang w:val="en-GB"/>
        </w:rPr>
      </w:pPr>
      <w:r w:rsidRPr="00F115C1">
        <w:rPr>
          <w:lang w:val="en-GB"/>
        </w:rPr>
        <w:t>(Scope</w:t>
      </w:r>
      <w:r>
        <w:rPr>
          <w:lang w:val="en-GB"/>
        </w:rPr>
        <w:t>: toys intended for use by children under 36 months and other toys intended to be placed in the mouth</w:t>
      </w:r>
      <w:r w:rsidR="00A26845">
        <w:rPr>
          <w:lang w:val="en-GB"/>
        </w:rPr>
        <w:t xml:space="preserve"> – </w:t>
      </w:r>
      <w:r w:rsidR="00A26845" w:rsidRPr="00A26845">
        <w:rPr>
          <w:lang w:val="en-GB" w:eastAsia="zh-CN"/>
        </w:rPr>
        <w:t xml:space="preserve">The TSD explanatory guidance document gives some additional information regarding which </w:t>
      </w:r>
      <w:r w:rsidR="00A26845">
        <w:rPr>
          <w:lang w:val="en-GB" w:eastAsia="zh-CN"/>
        </w:rPr>
        <w:t xml:space="preserve">toy </w:t>
      </w:r>
      <w:r w:rsidR="00A26845" w:rsidRPr="00A26845">
        <w:rPr>
          <w:lang w:val="en-GB" w:eastAsia="zh-CN"/>
        </w:rPr>
        <w:t>materials would be most likely to contain the</w:t>
      </w:r>
      <w:r w:rsidR="00A26845">
        <w:rPr>
          <w:lang w:val="en-GB" w:eastAsia="zh-CN"/>
        </w:rPr>
        <w:t xml:space="preserve"> below</w:t>
      </w:r>
      <w:r w:rsidR="00A26845" w:rsidRPr="00A26845">
        <w:rPr>
          <w:lang w:val="en-GB" w:eastAsia="zh-CN"/>
        </w:rPr>
        <w:t xml:space="preserve"> substances</w:t>
      </w:r>
      <w:r w:rsidR="00A26845">
        <w:rPr>
          <w:lang w:val="en-GB" w:eastAsia="zh-CN"/>
        </w:rPr>
        <w:t>)</w:t>
      </w:r>
      <w:r w:rsidR="00A26845" w:rsidRPr="00A26845">
        <w:rPr>
          <w:lang w:val="en-GB" w:eastAsia="zh-CN"/>
        </w:rPr>
        <w:t>.</w:t>
      </w:r>
    </w:p>
    <w:p w14:paraId="0CF189FA" w14:textId="77777777" w:rsidR="00F115C1" w:rsidRPr="002F76CA" w:rsidRDefault="00F115C1" w:rsidP="008F45A1">
      <w:pPr>
        <w:spacing w:after="0" w:line="240" w:lineRule="auto"/>
        <w:rPr>
          <w:b/>
          <w:sz w:val="18"/>
          <w:szCs w:val="18"/>
          <w:u w:val="single"/>
          <w:lang w:val="en-GB"/>
        </w:rPr>
      </w:pPr>
    </w:p>
    <w:p w14:paraId="29470627" w14:textId="77777777" w:rsidR="00A14922" w:rsidRPr="003025C0" w:rsidRDefault="003025C0" w:rsidP="008F45A1">
      <w:pPr>
        <w:pStyle w:val="Paragraphedeliste"/>
        <w:numPr>
          <w:ilvl w:val="0"/>
          <w:numId w:val="2"/>
        </w:numPr>
        <w:rPr>
          <w:b/>
          <w:u w:val="single"/>
        </w:rPr>
      </w:pPr>
      <w:r w:rsidRPr="003025C0">
        <w:rPr>
          <w:b/>
          <w:u w:val="single"/>
        </w:rPr>
        <w:t>Bisphenol A (</w:t>
      </w:r>
      <w:r w:rsidR="008F45A1" w:rsidRPr="003025C0">
        <w:rPr>
          <w:b/>
          <w:u w:val="single"/>
        </w:rPr>
        <w:t>BPA</w:t>
      </w:r>
      <w:r w:rsidRPr="003025C0">
        <w:rPr>
          <w:b/>
          <w:u w:val="single"/>
        </w:rPr>
        <w:t xml:space="preserve"> – CAS N° 80-05-7)</w:t>
      </w:r>
      <w:r w:rsidR="008F45A1" w:rsidRPr="003025C0">
        <w:rPr>
          <w:b/>
          <w:u w:val="single"/>
        </w:rPr>
        <w:t>:</w:t>
      </w:r>
      <w:r w:rsidR="008F45A1" w:rsidRPr="003025C0">
        <w:rPr>
          <w:b/>
        </w:rPr>
        <w:t xml:space="preserve"> </w:t>
      </w:r>
    </w:p>
    <w:p w14:paraId="24C3C0D7" w14:textId="3EBAD4F3" w:rsidR="008F45A1" w:rsidRDefault="00F115C1" w:rsidP="00A14922">
      <w:pPr>
        <w:pStyle w:val="Paragraphedeliste"/>
        <w:rPr>
          <w:highlight w:val="yellow"/>
          <w:lang w:val="en-GB"/>
        </w:rPr>
      </w:pPr>
      <w:r w:rsidRPr="00F115C1">
        <w:rPr>
          <w:lang w:val="en-GB"/>
        </w:rPr>
        <w:t>The</w:t>
      </w:r>
      <w:r>
        <w:rPr>
          <w:lang w:val="en-GB"/>
        </w:rPr>
        <w:t xml:space="preserve"> </w:t>
      </w:r>
      <w:hyperlink r:id="rId9" w:history="1">
        <w:r w:rsidR="003025C0" w:rsidRPr="00F115C1">
          <w:rPr>
            <w:rStyle w:val="Lienhypertexte"/>
            <w:lang w:val="en-GB"/>
          </w:rPr>
          <w:t>Commission Directive 2014/81/EU</w:t>
        </w:r>
      </w:hyperlink>
      <w:r>
        <w:rPr>
          <w:lang w:val="en-GB"/>
        </w:rPr>
        <w:t xml:space="preserve"> restricting BPA applie</w:t>
      </w:r>
      <w:r w:rsidR="009D15A4">
        <w:rPr>
          <w:lang w:val="en-GB"/>
        </w:rPr>
        <w:t xml:space="preserve">s since </w:t>
      </w:r>
      <w:r>
        <w:rPr>
          <w:lang w:val="en-GB"/>
        </w:rPr>
        <w:t xml:space="preserve">December 2015. </w:t>
      </w:r>
      <w:r w:rsidR="00E41FB9">
        <w:rPr>
          <w:lang w:val="en-GB"/>
        </w:rPr>
        <w:t xml:space="preserve">It </w:t>
      </w:r>
      <w:r w:rsidR="009D15A4">
        <w:rPr>
          <w:lang w:val="en-GB"/>
        </w:rPr>
        <w:t xml:space="preserve">lays down </w:t>
      </w:r>
      <w:r w:rsidR="00E41FB9">
        <w:rPr>
          <w:lang w:val="en-GB"/>
        </w:rPr>
        <w:t>a 0.1 mg/l migration</w:t>
      </w:r>
      <w:r w:rsidR="00E41FB9" w:rsidRPr="00E41FB9">
        <w:rPr>
          <w:lang w:val="en-GB"/>
        </w:rPr>
        <w:t xml:space="preserve"> limit </w:t>
      </w:r>
      <w:r w:rsidR="009D15A4">
        <w:rPr>
          <w:lang w:val="en-GB"/>
        </w:rPr>
        <w:t xml:space="preserve">when tested </w:t>
      </w:r>
      <w:r w:rsidR="00E41FB9" w:rsidRPr="00E41FB9">
        <w:rPr>
          <w:lang w:val="en-GB"/>
        </w:rPr>
        <w:t>in accordance with the methods laid down in EN 71-10:2005 and EN 71-11:2005</w:t>
      </w:r>
      <w:r w:rsidR="00E41FB9">
        <w:rPr>
          <w:lang w:val="en-GB"/>
        </w:rPr>
        <w:t>.</w:t>
      </w:r>
      <w:r w:rsidR="009D15A4">
        <w:rPr>
          <w:lang w:val="en-GB"/>
        </w:rPr>
        <w:t xml:space="preserve"> A</w:t>
      </w:r>
      <w:r>
        <w:rPr>
          <w:lang w:val="en-GB"/>
        </w:rPr>
        <w:t xml:space="preserve"> lowering of the 0.1 mg/l limit to 0.04 mg/l was adopted in November 2016 </w:t>
      </w:r>
      <w:r w:rsidR="000146D4">
        <w:rPr>
          <w:lang w:val="en-GB"/>
        </w:rPr>
        <w:t xml:space="preserve">and the </w:t>
      </w:r>
      <w:hyperlink r:id="rId10" w:history="1">
        <w:r w:rsidR="000146D4" w:rsidRPr="00B11F4C">
          <w:rPr>
            <w:rStyle w:val="Lienhypertexte"/>
            <w:lang w:val="en-GB"/>
          </w:rPr>
          <w:t>Commission Directive 2017/</w:t>
        </w:r>
        <w:r w:rsidR="000146D4">
          <w:rPr>
            <w:rStyle w:val="Lienhypertexte"/>
            <w:lang w:val="en-GB"/>
          </w:rPr>
          <w:t>898</w:t>
        </w:r>
        <w:r w:rsidR="000146D4" w:rsidRPr="00B11F4C">
          <w:rPr>
            <w:rStyle w:val="Lienhypertexte"/>
            <w:lang w:val="en-GB"/>
          </w:rPr>
          <w:t>/EU</w:t>
        </w:r>
      </w:hyperlink>
      <w:r w:rsidR="000146D4">
        <w:rPr>
          <w:lang w:val="en-GB"/>
        </w:rPr>
        <w:t xml:space="preserve"> was published on 25 May 2017. It </w:t>
      </w:r>
      <w:r w:rsidR="000146D4" w:rsidRPr="00B11F4C">
        <w:rPr>
          <w:b/>
          <w:lang w:val="en-GB"/>
        </w:rPr>
        <w:t xml:space="preserve">applies </w:t>
      </w:r>
      <w:r w:rsidR="004D1265">
        <w:rPr>
          <w:b/>
          <w:lang w:val="en-GB"/>
        </w:rPr>
        <w:t xml:space="preserve">since </w:t>
      </w:r>
      <w:r w:rsidR="000146D4" w:rsidRPr="00B11F4C">
        <w:rPr>
          <w:b/>
          <w:lang w:val="en-GB"/>
        </w:rPr>
        <w:t>November 2018</w:t>
      </w:r>
      <w:r w:rsidR="000146D4">
        <w:rPr>
          <w:lang w:val="en-GB"/>
        </w:rPr>
        <w:t xml:space="preserve">. </w:t>
      </w:r>
    </w:p>
    <w:p w14:paraId="04C9B434" w14:textId="7AE77DAC" w:rsidR="000D52A7" w:rsidRDefault="0084358D" w:rsidP="00A14922">
      <w:pPr>
        <w:pStyle w:val="Paragraphedeliste"/>
        <w:rPr>
          <w:bCs/>
          <w:lang w:val="en-GB"/>
        </w:rPr>
      </w:pPr>
      <w:r w:rsidRPr="001010B3">
        <w:rPr>
          <w:b/>
          <w:u w:val="single"/>
          <w:lang w:val="en-GB"/>
        </w:rPr>
        <w:t>Ongoing discussions:</w:t>
      </w:r>
      <w:r>
        <w:rPr>
          <w:b/>
          <w:u w:val="single"/>
          <w:lang w:val="en-GB"/>
        </w:rPr>
        <w:t xml:space="preserve"> </w:t>
      </w:r>
      <w:r w:rsidRPr="0084358D">
        <w:rPr>
          <w:bCs/>
          <w:lang w:val="en-GB"/>
        </w:rPr>
        <w:t>The Commission is investigating the lower</w:t>
      </w:r>
      <w:r>
        <w:rPr>
          <w:bCs/>
          <w:lang w:val="en-GB"/>
        </w:rPr>
        <w:t>ing of</w:t>
      </w:r>
      <w:r w:rsidRPr="0084358D">
        <w:rPr>
          <w:bCs/>
          <w:lang w:val="en-GB"/>
        </w:rPr>
        <w:t xml:space="preserve"> the BPA migration limit</w:t>
      </w:r>
      <w:r>
        <w:rPr>
          <w:bCs/>
          <w:lang w:val="en-GB"/>
        </w:rPr>
        <w:t xml:space="preserve"> following the EFSA opinion published in 2023.</w:t>
      </w:r>
    </w:p>
    <w:p w14:paraId="63B1046C" w14:textId="77777777" w:rsidR="0084358D" w:rsidRPr="002F76CA" w:rsidRDefault="0084358D" w:rsidP="00A14922">
      <w:pPr>
        <w:pStyle w:val="Paragraphedeliste"/>
        <w:rPr>
          <w:sz w:val="18"/>
          <w:szCs w:val="18"/>
          <w:lang w:val="en-GB"/>
        </w:rPr>
      </w:pPr>
    </w:p>
    <w:p w14:paraId="4912D5EE" w14:textId="77777777" w:rsidR="00A14922" w:rsidRPr="00D82796" w:rsidRDefault="003025C0" w:rsidP="003025C0">
      <w:pPr>
        <w:pStyle w:val="Paragraphedeliste"/>
        <w:numPr>
          <w:ilvl w:val="0"/>
          <w:numId w:val="2"/>
        </w:numPr>
        <w:rPr>
          <w:b/>
          <w:u w:val="single"/>
          <w:lang w:val="en-GB"/>
        </w:rPr>
      </w:pPr>
      <w:r w:rsidRPr="00D82796">
        <w:rPr>
          <w:rFonts w:cs="EUAlbertina"/>
          <w:b/>
          <w:color w:val="000000"/>
          <w:u w:val="single"/>
          <w:lang w:val="en-GB"/>
        </w:rPr>
        <w:t xml:space="preserve">Tris(2-chloroethyl) phosphate (TCEP - CAS N° 115-96-8), </w:t>
      </w:r>
      <w:r w:rsidRPr="00D82796">
        <w:rPr>
          <w:b/>
          <w:u w:val="single"/>
          <w:lang w:val="en-GB"/>
        </w:rPr>
        <w:t xml:space="preserve">tris[2-chloro-1-(chloromethyl) ethyl] phosphate (TDCP - CAS N° 13674-87-8) and tris(2-chloro-1-methylethyl) phosphate (TCPP - CAS No 13674-84-5) : </w:t>
      </w:r>
    </w:p>
    <w:p w14:paraId="72A5D749" w14:textId="77777777" w:rsidR="00F115C1" w:rsidRPr="004447EF" w:rsidRDefault="00F115C1" w:rsidP="00A14922">
      <w:pPr>
        <w:pStyle w:val="Paragraphedeliste"/>
        <w:rPr>
          <w:b/>
          <w:u w:val="single"/>
          <w:lang w:val="en-GB"/>
        </w:rPr>
      </w:pPr>
      <w:r w:rsidRPr="00F115C1">
        <w:rPr>
          <w:lang w:val="en-GB"/>
        </w:rPr>
        <w:t>The</w:t>
      </w:r>
      <w:r>
        <w:rPr>
          <w:lang w:val="en-GB"/>
        </w:rPr>
        <w:t xml:space="preserve"> </w:t>
      </w:r>
      <w:hyperlink r:id="rId11" w:history="1">
        <w:r w:rsidRPr="00F115C1">
          <w:rPr>
            <w:rStyle w:val="Lienhypertexte"/>
            <w:lang w:val="en-GB"/>
          </w:rPr>
          <w:t>Commission Directive 2014/</w:t>
        </w:r>
        <w:r>
          <w:rPr>
            <w:rStyle w:val="Lienhypertexte"/>
            <w:lang w:val="en-GB"/>
          </w:rPr>
          <w:t>79</w:t>
        </w:r>
        <w:r w:rsidRPr="00F115C1">
          <w:rPr>
            <w:rStyle w:val="Lienhypertexte"/>
            <w:lang w:val="en-GB"/>
          </w:rPr>
          <w:t>/EU</w:t>
        </w:r>
      </w:hyperlink>
      <w:r>
        <w:rPr>
          <w:lang w:val="en-GB"/>
        </w:rPr>
        <w:t xml:space="preserve"> restricting </w:t>
      </w:r>
      <w:r w:rsidR="00A14922" w:rsidRPr="00A14922">
        <w:rPr>
          <w:lang w:val="en-GB"/>
        </w:rPr>
        <w:t>TCEP, TCPP</w:t>
      </w:r>
      <w:r w:rsidR="003025C0">
        <w:rPr>
          <w:lang w:val="en-GB"/>
        </w:rPr>
        <w:t xml:space="preserve"> </w:t>
      </w:r>
      <w:r w:rsidR="00A14922" w:rsidRPr="00A14922">
        <w:rPr>
          <w:lang w:val="en-GB"/>
        </w:rPr>
        <w:t>&amp; TDCP</w:t>
      </w:r>
      <w:r w:rsidR="00A14922">
        <w:rPr>
          <w:lang w:val="en-GB"/>
        </w:rPr>
        <w:t xml:space="preserve"> (5 mg/kg each – total content)</w:t>
      </w:r>
      <w:r>
        <w:rPr>
          <w:lang w:val="en-GB"/>
        </w:rPr>
        <w:t xml:space="preserve"> </w:t>
      </w:r>
      <w:r w:rsidRPr="004447EF">
        <w:rPr>
          <w:b/>
          <w:lang w:val="en-GB"/>
        </w:rPr>
        <w:t>applie</w:t>
      </w:r>
      <w:r w:rsidR="009D15A4">
        <w:rPr>
          <w:b/>
          <w:lang w:val="en-GB"/>
        </w:rPr>
        <w:t>s since</w:t>
      </w:r>
      <w:r w:rsidRPr="004447EF">
        <w:rPr>
          <w:b/>
          <w:lang w:val="en-GB"/>
        </w:rPr>
        <w:t xml:space="preserve"> December 2015.</w:t>
      </w:r>
    </w:p>
    <w:p w14:paraId="5F4104D4" w14:textId="77777777" w:rsidR="00A14922" w:rsidRPr="002F76CA" w:rsidRDefault="00A14922" w:rsidP="00A14922">
      <w:pPr>
        <w:pStyle w:val="Paragraphedeliste"/>
        <w:rPr>
          <w:sz w:val="18"/>
          <w:szCs w:val="18"/>
          <w:u w:val="single"/>
          <w:lang w:val="en-GB"/>
        </w:rPr>
      </w:pPr>
    </w:p>
    <w:p w14:paraId="5C6315DA" w14:textId="77777777" w:rsidR="00F115C1" w:rsidRPr="004447EF" w:rsidRDefault="00A14922" w:rsidP="008F45A1">
      <w:pPr>
        <w:pStyle w:val="Paragraphedeliste"/>
        <w:numPr>
          <w:ilvl w:val="0"/>
          <w:numId w:val="2"/>
        </w:numPr>
        <w:rPr>
          <w:b/>
          <w:u w:val="single"/>
          <w:lang w:val="en-GB"/>
        </w:rPr>
      </w:pPr>
      <w:r w:rsidRPr="004447EF">
        <w:rPr>
          <w:b/>
          <w:u w:val="single"/>
          <w:lang w:val="en-GB"/>
        </w:rPr>
        <w:t>Formamide</w:t>
      </w:r>
      <w:r w:rsidR="00D465DB">
        <w:rPr>
          <w:b/>
          <w:u w:val="single"/>
          <w:lang w:val="en-GB"/>
        </w:rPr>
        <w:t xml:space="preserve"> (CAS N° 75-12-7)</w:t>
      </w:r>
      <w:r w:rsidRPr="004447EF">
        <w:rPr>
          <w:b/>
          <w:u w:val="single"/>
          <w:lang w:val="en-GB"/>
        </w:rPr>
        <w:t>:</w:t>
      </w:r>
    </w:p>
    <w:p w14:paraId="604A280E" w14:textId="616E8759" w:rsidR="00E41FB9" w:rsidRDefault="00A14922" w:rsidP="00A14922">
      <w:pPr>
        <w:pStyle w:val="Paragraphedeliste"/>
        <w:jc w:val="both"/>
        <w:rPr>
          <w:lang w:val="en-GB"/>
        </w:rPr>
      </w:pPr>
      <w:r w:rsidRPr="00F115C1">
        <w:rPr>
          <w:lang w:val="en-GB"/>
        </w:rPr>
        <w:t>The</w:t>
      </w:r>
      <w:r>
        <w:rPr>
          <w:lang w:val="en-GB"/>
        </w:rPr>
        <w:t xml:space="preserve"> </w:t>
      </w:r>
      <w:hyperlink r:id="rId12" w:history="1">
        <w:r w:rsidRPr="00F115C1">
          <w:rPr>
            <w:rStyle w:val="Lienhypertexte"/>
            <w:lang w:val="en-GB"/>
          </w:rPr>
          <w:t>Commission Directive 201</w:t>
        </w:r>
        <w:r>
          <w:rPr>
            <w:rStyle w:val="Lienhypertexte"/>
            <w:lang w:val="en-GB"/>
          </w:rPr>
          <w:t>5/2115</w:t>
        </w:r>
        <w:r w:rsidRPr="00F115C1">
          <w:rPr>
            <w:rStyle w:val="Lienhypertexte"/>
            <w:lang w:val="en-GB"/>
          </w:rPr>
          <w:t>/EU</w:t>
        </w:r>
      </w:hyperlink>
      <w:r>
        <w:rPr>
          <w:lang w:val="en-GB"/>
        </w:rPr>
        <w:t xml:space="preserve"> restricting formamide </w:t>
      </w:r>
      <w:r w:rsidRPr="004447EF">
        <w:rPr>
          <w:b/>
          <w:lang w:val="en-GB"/>
        </w:rPr>
        <w:t xml:space="preserve">applies </w:t>
      </w:r>
      <w:r w:rsidR="004D1265">
        <w:rPr>
          <w:b/>
          <w:lang w:val="en-GB"/>
        </w:rPr>
        <w:t>since</w:t>
      </w:r>
      <w:r w:rsidR="009D15A4">
        <w:rPr>
          <w:b/>
          <w:lang w:val="en-GB"/>
        </w:rPr>
        <w:t xml:space="preserve"> </w:t>
      </w:r>
      <w:r w:rsidRPr="004447EF">
        <w:rPr>
          <w:b/>
          <w:lang w:val="en-GB"/>
        </w:rPr>
        <w:t>May 2017</w:t>
      </w:r>
      <w:r>
        <w:rPr>
          <w:lang w:val="en-GB"/>
        </w:rPr>
        <w:t xml:space="preserve">. </w:t>
      </w:r>
      <w:r w:rsidRPr="00A14922">
        <w:rPr>
          <w:lang w:val="en-GB"/>
        </w:rPr>
        <w:t xml:space="preserve">It restricts the formamide emission at a maximum of 20 </w:t>
      </w:r>
      <w:r w:rsidRPr="00A14922">
        <w:t>μ</w:t>
      </w:r>
      <w:r w:rsidRPr="00A14922">
        <w:rPr>
          <w:lang w:val="en-GB"/>
        </w:rPr>
        <w:t xml:space="preserve">g/m³ (emission limit) after a maximum of 28 days from commencement of the emission testing of </w:t>
      </w:r>
      <w:r w:rsidRPr="00A26845">
        <w:rPr>
          <w:u w:val="single"/>
          <w:lang w:val="en-GB"/>
        </w:rPr>
        <w:t>foam toy materials</w:t>
      </w:r>
      <w:r w:rsidRPr="00A14922">
        <w:rPr>
          <w:lang w:val="en-GB"/>
        </w:rPr>
        <w:t xml:space="preserve"> containing more than 200 mg/kg (c</w:t>
      </w:r>
      <w:r>
        <w:rPr>
          <w:lang w:val="en-GB"/>
        </w:rPr>
        <w:t xml:space="preserve">ut-off limit based on content). </w:t>
      </w:r>
    </w:p>
    <w:p w14:paraId="17EF9574" w14:textId="77777777" w:rsidR="00A14922" w:rsidRDefault="00A14922" w:rsidP="00A14922">
      <w:pPr>
        <w:pStyle w:val="Paragraphedeliste"/>
        <w:jc w:val="both"/>
        <w:rPr>
          <w:lang w:val="en-GB"/>
        </w:rPr>
      </w:pPr>
      <w:r>
        <w:rPr>
          <w:lang w:val="en-GB"/>
        </w:rPr>
        <w:t>This means that if the content limit of formamide is less than or equal to 200 mg/kg, there is no need to demonstrate compliance with the emission requirement.</w:t>
      </w:r>
    </w:p>
    <w:p w14:paraId="5D4539FD" w14:textId="77777777" w:rsidR="00E41FB9" w:rsidRPr="004447EF" w:rsidRDefault="00E41FB9" w:rsidP="00E41FB9">
      <w:pPr>
        <w:pStyle w:val="Default"/>
        <w:numPr>
          <w:ilvl w:val="0"/>
          <w:numId w:val="2"/>
        </w:numPr>
        <w:rPr>
          <w:rFonts w:asciiTheme="minorHAnsi" w:hAnsiTheme="minorHAnsi"/>
          <w:b/>
          <w:sz w:val="22"/>
          <w:szCs w:val="22"/>
        </w:rPr>
      </w:pPr>
      <w:r w:rsidRPr="004447EF">
        <w:rPr>
          <w:rFonts w:asciiTheme="minorHAnsi" w:hAnsiTheme="minorHAnsi"/>
          <w:b/>
          <w:sz w:val="22"/>
          <w:szCs w:val="22"/>
          <w:u w:val="single"/>
          <w:lang w:val="en-GB"/>
        </w:rPr>
        <w:t xml:space="preserve">BIT </w:t>
      </w:r>
      <w:r w:rsidRPr="004447EF">
        <w:rPr>
          <w:rFonts w:asciiTheme="minorHAnsi" w:hAnsiTheme="minorHAnsi"/>
          <w:b/>
          <w:sz w:val="22"/>
          <w:szCs w:val="22"/>
          <w:lang w:val="en-GB"/>
        </w:rPr>
        <w:t>(</w:t>
      </w:r>
      <w:r w:rsidRPr="004447EF">
        <w:rPr>
          <w:rFonts w:asciiTheme="minorHAnsi" w:hAnsiTheme="minorHAnsi"/>
          <w:b/>
          <w:bCs/>
          <w:sz w:val="22"/>
          <w:szCs w:val="22"/>
        </w:rPr>
        <w:t>benzisothiazolinone</w:t>
      </w:r>
      <w:r w:rsidR="00D465DB">
        <w:rPr>
          <w:rFonts w:asciiTheme="minorHAnsi" w:hAnsiTheme="minorHAnsi"/>
          <w:b/>
          <w:bCs/>
          <w:sz w:val="22"/>
          <w:szCs w:val="22"/>
        </w:rPr>
        <w:t xml:space="preserve"> – CAS N° 2634-33-5</w:t>
      </w:r>
      <w:r w:rsidRPr="004447EF">
        <w:rPr>
          <w:rFonts w:asciiTheme="minorHAnsi" w:hAnsiTheme="minorHAnsi"/>
          <w:b/>
          <w:bCs/>
          <w:sz w:val="22"/>
          <w:szCs w:val="22"/>
        </w:rPr>
        <w:t>):</w:t>
      </w:r>
    </w:p>
    <w:p w14:paraId="43CE7740" w14:textId="5F146395" w:rsidR="00E41FB9" w:rsidRDefault="00E41FB9" w:rsidP="00E41FB9">
      <w:pPr>
        <w:pStyle w:val="Paragraphedeliste"/>
        <w:jc w:val="both"/>
        <w:rPr>
          <w:lang w:val="en-GB"/>
        </w:rPr>
      </w:pPr>
      <w:r w:rsidRPr="00F115C1">
        <w:rPr>
          <w:lang w:val="en-GB"/>
        </w:rPr>
        <w:t>The</w:t>
      </w:r>
      <w:r>
        <w:rPr>
          <w:lang w:val="en-GB"/>
        </w:rPr>
        <w:t xml:space="preserve"> </w:t>
      </w:r>
      <w:hyperlink r:id="rId13" w:history="1">
        <w:r w:rsidRPr="00F115C1">
          <w:rPr>
            <w:rStyle w:val="Lienhypertexte"/>
            <w:lang w:val="en-GB"/>
          </w:rPr>
          <w:t>Commission Directive 201</w:t>
        </w:r>
        <w:r>
          <w:rPr>
            <w:rStyle w:val="Lienhypertexte"/>
            <w:lang w:val="en-GB"/>
          </w:rPr>
          <w:t>5/2116</w:t>
        </w:r>
        <w:r w:rsidRPr="00F115C1">
          <w:rPr>
            <w:rStyle w:val="Lienhypertexte"/>
            <w:lang w:val="en-GB"/>
          </w:rPr>
          <w:t>/EU</w:t>
        </w:r>
      </w:hyperlink>
      <w:r>
        <w:rPr>
          <w:lang w:val="en-GB"/>
        </w:rPr>
        <w:t xml:space="preserve"> restricting </w:t>
      </w:r>
      <w:r w:rsidR="009D15A4">
        <w:rPr>
          <w:lang w:val="en-GB"/>
        </w:rPr>
        <w:t xml:space="preserve">BIT </w:t>
      </w:r>
      <w:r w:rsidRPr="004447EF">
        <w:rPr>
          <w:b/>
          <w:lang w:val="en-GB"/>
        </w:rPr>
        <w:t xml:space="preserve">applies </w:t>
      </w:r>
      <w:r w:rsidR="004D1265">
        <w:rPr>
          <w:b/>
          <w:lang w:val="en-GB"/>
        </w:rPr>
        <w:t>since</w:t>
      </w:r>
      <w:r w:rsidRPr="004447EF">
        <w:rPr>
          <w:b/>
          <w:lang w:val="en-GB"/>
        </w:rPr>
        <w:t xml:space="preserve"> May 2017</w:t>
      </w:r>
      <w:r w:rsidRPr="00E41FB9">
        <w:rPr>
          <w:lang w:val="en-GB"/>
        </w:rPr>
        <w:t xml:space="preserve">. It restricts this substance at 5 mg/kg (content limit) </w:t>
      </w:r>
      <w:r w:rsidRPr="00A26845">
        <w:rPr>
          <w:u w:val="single"/>
          <w:lang w:val="en-GB"/>
        </w:rPr>
        <w:t>in aqueous toy materials</w:t>
      </w:r>
      <w:r w:rsidRPr="00E41FB9">
        <w:rPr>
          <w:lang w:val="en-GB"/>
        </w:rPr>
        <w:t>, in accordance with the methods laid down in EN 71-10:2005 and EN 71-11:2005</w:t>
      </w:r>
      <w:r>
        <w:rPr>
          <w:lang w:val="en-GB"/>
        </w:rPr>
        <w:t>.</w:t>
      </w:r>
    </w:p>
    <w:p w14:paraId="62C1B202" w14:textId="77777777" w:rsidR="00445177" w:rsidRPr="002F76CA" w:rsidRDefault="00445177" w:rsidP="00E41FB9">
      <w:pPr>
        <w:pStyle w:val="Paragraphedeliste"/>
        <w:jc w:val="both"/>
        <w:rPr>
          <w:sz w:val="18"/>
          <w:szCs w:val="18"/>
          <w:lang w:val="en-GB"/>
        </w:rPr>
      </w:pPr>
    </w:p>
    <w:p w14:paraId="3BD6D5D0" w14:textId="77777777" w:rsidR="00445177" w:rsidRPr="009D15A4" w:rsidRDefault="00445177" w:rsidP="00445177">
      <w:pPr>
        <w:pStyle w:val="Paragraphedeliste"/>
        <w:numPr>
          <w:ilvl w:val="0"/>
          <w:numId w:val="2"/>
        </w:numPr>
        <w:jc w:val="both"/>
        <w:rPr>
          <w:b/>
          <w:u w:val="single"/>
          <w:lang w:val="en-GB"/>
        </w:rPr>
      </w:pPr>
      <w:r w:rsidRPr="009D15A4">
        <w:rPr>
          <w:b/>
          <w:u w:val="single"/>
          <w:lang w:val="en-GB"/>
        </w:rPr>
        <w:t>CMI/MI</w:t>
      </w:r>
      <w:r w:rsidRPr="009D15A4">
        <w:rPr>
          <w:rFonts w:ascii="EUAlbertina" w:hAnsi="EUAlbertina" w:cs="EUAlbertina"/>
          <w:b/>
          <w:bCs/>
          <w:color w:val="000000"/>
          <w:sz w:val="19"/>
          <w:szCs w:val="19"/>
          <w:u w:val="single"/>
          <w:lang w:val="en-GB"/>
        </w:rPr>
        <w:t xml:space="preserve"> </w:t>
      </w:r>
      <w:r w:rsidRPr="009D15A4">
        <w:rPr>
          <w:rFonts w:cs="EUAlbertina"/>
          <w:b/>
          <w:bCs/>
          <w:color w:val="000000"/>
          <w:u w:val="single"/>
          <w:lang w:val="en-GB"/>
        </w:rPr>
        <w:t>(chloromethylisothiazolinone</w:t>
      </w:r>
      <w:r w:rsidR="00D465DB">
        <w:rPr>
          <w:rFonts w:cs="EUAlbertina"/>
          <w:b/>
          <w:bCs/>
          <w:color w:val="000000"/>
          <w:u w:val="single"/>
          <w:lang w:val="en-GB"/>
        </w:rPr>
        <w:t xml:space="preserve"> - CAS N°</w:t>
      </w:r>
      <w:r w:rsidRPr="009D15A4">
        <w:rPr>
          <w:rFonts w:cs="EUAlbertina"/>
          <w:b/>
          <w:bCs/>
          <w:color w:val="000000"/>
          <w:u w:val="single"/>
          <w:lang w:val="en-GB"/>
        </w:rPr>
        <w:t xml:space="preserve"> </w:t>
      </w:r>
      <w:r w:rsidR="00D465DB">
        <w:rPr>
          <w:rFonts w:cs="EUAlbertina"/>
          <w:b/>
          <w:bCs/>
          <w:color w:val="000000"/>
          <w:u w:val="single"/>
          <w:lang w:val="en-GB"/>
        </w:rPr>
        <w:t xml:space="preserve">26172-55-4 </w:t>
      </w:r>
      <w:r w:rsidRPr="009D15A4">
        <w:rPr>
          <w:rFonts w:cs="EUAlbertina"/>
          <w:b/>
          <w:bCs/>
          <w:color w:val="000000"/>
          <w:u w:val="single"/>
          <w:lang w:val="en-GB"/>
        </w:rPr>
        <w:t>and methylisothiazolinone</w:t>
      </w:r>
      <w:r w:rsidR="00D465DB">
        <w:rPr>
          <w:rFonts w:cs="EUAlbertina"/>
          <w:b/>
          <w:bCs/>
          <w:color w:val="000000"/>
          <w:u w:val="single"/>
          <w:lang w:val="en-GB"/>
        </w:rPr>
        <w:t xml:space="preserve"> - CAS N° 2682-20-4</w:t>
      </w:r>
      <w:r w:rsidRPr="009D15A4">
        <w:rPr>
          <w:rFonts w:cs="EUAlbertina"/>
          <w:b/>
          <w:bCs/>
          <w:color w:val="000000"/>
          <w:u w:val="single"/>
          <w:lang w:val="en-GB"/>
        </w:rPr>
        <w:t>):</w:t>
      </w:r>
    </w:p>
    <w:p w14:paraId="3BD5534C" w14:textId="64D9DA1B" w:rsidR="00445177" w:rsidRDefault="00445177" w:rsidP="00445177">
      <w:pPr>
        <w:pStyle w:val="Paragraphedeliste"/>
        <w:jc w:val="both"/>
        <w:rPr>
          <w:lang w:val="en-GB"/>
        </w:rPr>
      </w:pPr>
      <w:r w:rsidRPr="00DC72CD">
        <w:rPr>
          <w:lang w:val="en-GB"/>
        </w:rPr>
        <w:t xml:space="preserve">The </w:t>
      </w:r>
      <w:hyperlink r:id="rId14" w:history="1">
        <w:r w:rsidRPr="00DC72CD">
          <w:rPr>
            <w:rStyle w:val="Lienhypertexte"/>
            <w:lang w:val="en-GB"/>
          </w:rPr>
          <w:t>Commission Directive 2015/2117/EU</w:t>
        </w:r>
      </w:hyperlink>
      <w:r w:rsidRPr="00DC72CD">
        <w:rPr>
          <w:lang w:val="en-GB"/>
        </w:rPr>
        <w:t xml:space="preserve"> restricting </w:t>
      </w:r>
      <w:r w:rsidR="004447EF">
        <w:rPr>
          <w:lang w:val="en-GB"/>
        </w:rPr>
        <w:t>CMI and MI</w:t>
      </w:r>
      <w:r w:rsidRPr="00DC72CD">
        <w:rPr>
          <w:lang w:val="en-GB"/>
        </w:rPr>
        <w:t xml:space="preserve"> </w:t>
      </w:r>
      <w:r w:rsidR="009D15A4">
        <w:rPr>
          <w:lang w:val="en-GB"/>
        </w:rPr>
        <w:t xml:space="preserve">and CMI/MI </w:t>
      </w:r>
      <w:r w:rsidRPr="004447EF">
        <w:rPr>
          <w:b/>
          <w:lang w:val="en-GB"/>
        </w:rPr>
        <w:t xml:space="preserve">applies </w:t>
      </w:r>
      <w:r w:rsidR="004D1265">
        <w:rPr>
          <w:b/>
          <w:lang w:val="en-GB"/>
        </w:rPr>
        <w:t>since</w:t>
      </w:r>
      <w:r w:rsidRPr="004447EF">
        <w:rPr>
          <w:b/>
          <w:lang w:val="en-GB"/>
        </w:rPr>
        <w:t xml:space="preserve"> </w:t>
      </w:r>
      <w:r w:rsidR="00CD7D26" w:rsidRPr="004447EF">
        <w:rPr>
          <w:b/>
          <w:lang w:val="en-GB"/>
        </w:rPr>
        <w:t>November</w:t>
      </w:r>
      <w:r w:rsidRPr="004447EF">
        <w:rPr>
          <w:b/>
          <w:lang w:val="en-GB"/>
        </w:rPr>
        <w:t xml:space="preserve"> 2017</w:t>
      </w:r>
      <w:r w:rsidRPr="00DC72CD">
        <w:rPr>
          <w:lang w:val="en-GB"/>
        </w:rPr>
        <w:t>. It restricts th</w:t>
      </w:r>
      <w:r w:rsidR="00CD7D26" w:rsidRPr="00DC72CD">
        <w:rPr>
          <w:lang w:val="en-GB"/>
        </w:rPr>
        <w:t>ese</w:t>
      </w:r>
      <w:r w:rsidRPr="00DC72CD">
        <w:rPr>
          <w:lang w:val="en-GB"/>
        </w:rPr>
        <w:t xml:space="preserve"> substance</w:t>
      </w:r>
      <w:r w:rsidR="00CD7D26" w:rsidRPr="00DC72CD">
        <w:rPr>
          <w:lang w:val="en-GB"/>
        </w:rPr>
        <w:t>s</w:t>
      </w:r>
      <w:r w:rsidRPr="00DC72CD">
        <w:rPr>
          <w:lang w:val="en-GB"/>
        </w:rPr>
        <w:t xml:space="preserve"> </w:t>
      </w:r>
      <w:r w:rsidR="00DC72CD" w:rsidRPr="00A26845">
        <w:rPr>
          <w:u w:val="single"/>
          <w:lang w:val="en-GB"/>
        </w:rPr>
        <w:t>in aqueous toy materials</w:t>
      </w:r>
      <w:r w:rsidR="00DC72CD" w:rsidRPr="00DC72CD">
        <w:rPr>
          <w:lang w:val="en-GB"/>
        </w:rPr>
        <w:t xml:space="preserve"> </w:t>
      </w:r>
      <w:r w:rsidRPr="00DC72CD">
        <w:rPr>
          <w:lang w:val="en-GB"/>
        </w:rPr>
        <w:t xml:space="preserve">at </w:t>
      </w:r>
      <w:r w:rsidR="00CD7D26" w:rsidRPr="00DC72CD">
        <w:rPr>
          <w:lang w:val="en-GB"/>
        </w:rPr>
        <w:t xml:space="preserve">a content limit of </w:t>
      </w:r>
      <w:r w:rsidR="00DC72CD" w:rsidRPr="00DC72CD">
        <w:rPr>
          <w:lang w:val="en-GB"/>
        </w:rPr>
        <w:t>0,75</w:t>
      </w:r>
      <w:r w:rsidRPr="00DC72CD">
        <w:rPr>
          <w:lang w:val="en-GB"/>
        </w:rPr>
        <w:t xml:space="preserve"> mg/kg (</w:t>
      </w:r>
      <w:r w:rsidR="00DC72CD" w:rsidRPr="00DC72CD">
        <w:rPr>
          <w:lang w:val="en-GB"/>
        </w:rPr>
        <w:t>CMI</w:t>
      </w:r>
      <w:r w:rsidRPr="00DC72CD">
        <w:rPr>
          <w:lang w:val="en-GB"/>
        </w:rPr>
        <w:t>)</w:t>
      </w:r>
      <w:r w:rsidR="00DC72CD" w:rsidRPr="00DC72CD">
        <w:rPr>
          <w:lang w:val="en-GB"/>
        </w:rPr>
        <w:t xml:space="preserve"> and 0,25 mg/kg (MI)</w:t>
      </w:r>
      <w:r w:rsidRPr="00DC72CD">
        <w:rPr>
          <w:lang w:val="en-GB"/>
        </w:rPr>
        <w:t xml:space="preserve"> </w:t>
      </w:r>
      <w:r w:rsidR="00DC72CD" w:rsidRPr="00DC72CD">
        <w:rPr>
          <w:lang w:val="en-GB"/>
        </w:rPr>
        <w:t>individually and at 1 mg/kg for a CMI/MI mixture (3:1)</w:t>
      </w:r>
      <w:r w:rsidR="00D465DB">
        <w:rPr>
          <w:lang w:val="en-GB"/>
        </w:rPr>
        <w:t xml:space="preserve"> (CAS N° 55965-84-9) </w:t>
      </w:r>
      <w:r w:rsidRPr="00DC72CD">
        <w:rPr>
          <w:lang w:val="en-GB"/>
        </w:rPr>
        <w:t>, in accordance with the methods laid down in EN 71-10:2005 and EN 71-11:2005.</w:t>
      </w:r>
    </w:p>
    <w:p w14:paraId="01E95012" w14:textId="77777777" w:rsidR="00D465DB" w:rsidRPr="002F76CA" w:rsidRDefault="00D465DB" w:rsidP="00445177">
      <w:pPr>
        <w:pStyle w:val="Paragraphedeliste"/>
        <w:jc w:val="both"/>
        <w:rPr>
          <w:sz w:val="18"/>
          <w:szCs w:val="18"/>
          <w:lang w:val="en-GB"/>
        </w:rPr>
      </w:pPr>
    </w:p>
    <w:p w14:paraId="6EB184A0" w14:textId="77777777" w:rsidR="00DC72CD" w:rsidRPr="004447EF" w:rsidRDefault="00DC72CD" w:rsidP="00DC72CD">
      <w:pPr>
        <w:pStyle w:val="Paragraphedeliste"/>
        <w:numPr>
          <w:ilvl w:val="0"/>
          <w:numId w:val="2"/>
        </w:numPr>
        <w:spacing w:after="0" w:line="240" w:lineRule="auto"/>
        <w:jc w:val="both"/>
        <w:rPr>
          <w:b/>
          <w:u w:val="single"/>
          <w:lang w:val="en-GB"/>
        </w:rPr>
      </w:pPr>
      <w:r w:rsidRPr="004447EF">
        <w:rPr>
          <w:b/>
          <w:u w:val="single"/>
          <w:lang w:val="en-GB"/>
        </w:rPr>
        <w:t>Phenol</w:t>
      </w:r>
      <w:r w:rsidR="00D465DB">
        <w:rPr>
          <w:b/>
          <w:u w:val="single"/>
          <w:lang w:val="en-GB"/>
        </w:rPr>
        <w:t xml:space="preserve"> (CAS N° </w:t>
      </w:r>
      <w:r w:rsidR="001010B3">
        <w:rPr>
          <w:b/>
          <w:u w:val="single"/>
          <w:lang w:val="en-GB"/>
        </w:rPr>
        <w:t>108-95-2)</w:t>
      </w:r>
      <w:r w:rsidRPr="004447EF">
        <w:rPr>
          <w:b/>
          <w:u w:val="single"/>
          <w:lang w:val="en-GB"/>
        </w:rPr>
        <w:t>:</w:t>
      </w:r>
    </w:p>
    <w:p w14:paraId="2B39CFE9" w14:textId="1A87D83D" w:rsidR="00DC72CD" w:rsidRDefault="00DC72CD" w:rsidP="00DC72CD">
      <w:pPr>
        <w:spacing w:after="0" w:line="240" w:lineRule="auto"/>
        <w:ind w:left="708"/>
        <w:jc w:val="both"/>
        <w:rPr>
          <w:lang w:val="en-GB"/>
        </w:rPr>
      </w:pPr>
      <w:r>
        <w:rPr>
          <w:lang w:val="en-GB"/>
        </w:rPr>
        <w:t>The</w:t>
      </w:r>
      <w:r w:rsidR="00B11F4C">
        <w:rPr>
          <w:lang w:val="en-GB"/>
        </w:rPr>
        <w:t xml:space="preserve"> </w:t>
      </w:r>
      <w:hyperlink r:id="rId15" w:history="1">
        <w:r w:rsidR="00B11F4C" w:rsidRPr="00B11F4C">
          <w:rPr>
            <w:rStyle w:val="Lienhypertexte"/>
            <w:lang w:val="en-GB"/>
          </w:rPr>
          <w:t>Commission</w:t>
        </w:r>
        <w:r w:rsidRPr="00B11F4C">
          <w:rPr>
            <w:rStyle w:val="Lienhypertexte"/>
            <w:lang w:val="en-GB"/>
          </w:rPr>
          <w:t xml:space="preserve"> Directive</w:t>
        </w:r>
        <w:r w:rsidR="00B11F4C" w:rsidRPr="00B11F4C">
          <w:rPr>
            <w:rStyle w:val="Lienhypertexte"/>
            <w:lang w:val="en-GB"/>
          </w:rPr>
          <w:t xml:space="preserve"> 2017/774/EU</w:t>
        </w:r>
      </w:hyperlink>
      <w:r w:rsidR="00B11F4C">
        <w:rPr>
          <w:lang w:val="en-GB"/>
        </w:rPr>
        <w:t xml:space="preserve"> restricting phenol</w:t>
      </w:r>
      <w:r>
        <w:rPr>
          <w:lang w:val="en-GB"/>
        </w:rPr>
        <w:t xml:space="preserve"> </w:t>
      </w:r>
      <w:r w:rsidR="00B11F4C" w:rsidRPr="00B11F4C">
        <w:rPr>
          <w:b/>
          <w:lang w:val="en-GB"/>
        </w:rPr>
        <w:t xml:space="preserve">applies </w:t>
      </w:r>
      <w:r w:rsidR="004D1265">
        <w:rPr>
          <w:b/>
          <w:lang w:val="en-GB"/>
        </w:rPr>
        <w:t>since</w:t>
      </w:r>
      <w:r w:rsidR="00B11F4C" w:rsidRPr="00B11F4C">
        <w:rPr>
          <w:b/>
          <w:lang w:val="en-GB"/>
        </w:rPr>
        <w:t xml:space="preserve"> November 2018</w:t>
      </w:r>
      <w:r w:rsidR="00B11F4C">
        <w:rPr>
          <w:lang w:val="en-GB"/>
        </w:rPr>
        <w:t xml:space="preserve">. It </w:t>
      </w:r>
      <w:r>
        <w:rPr>
          <w:lang w:val="en-GB"/>
        </w:rPr>
        <w:t>restrict</w:t>
      </w:r>
      <w:r w:rsidR="00B11F4C">
        <w:rPr>
          <w:lang w:val="en-GB"/>
        </w:rPr>
        <w:t>s</w:t>
      </w:r>
      <w:r>
        <w:rPr>
          <w:lang w:val="en-GB"/>
        </w:rPr>
        <w:t xml:space="preserve"> </w:t>
      </w:r>
      <w:r w:rsidR="00B11F4C">
        <w:rPr>
          <w:lang w:val="en-GB"/>
        </w:rPr>
        <w:t>this substance</w:t>
      </w:r>
      <w:r>
        <w:rPr>
          <w:lang w:val="en-GB"/>
        </w:rPr>
        <w:t xml:space="preserve"> at </w:t>
      </w:r>
      <w:r w:rsidRPr="00DC72CD">
        <w:rPr>
          <w:lang w:val="en-GB"/>
        </w:rPr>
        <w:t>5 mg/l (migration limit) in polymeric materials</w:t>
      </w:r>
      <w:r>
        <w:rPr>
          <w:lang w:val="en-GB"/>
        </w:rPr>
        <w:t xml:space="preserve"> and at </w:t>
      </w:r>
      <w:r w:rsidRPr="00DC72CD">
        <w:rPr>
          <w:lang w:val="en-GB"/>
        </w:rPr>
        <w:t>10 mg/kg (content limit) as a preservative</w:t>
      </w:r>
      <w:r w:rsidR="00F165E1">
        <w:rPr>
          <w:lang w:val="en-GB"/>
        </w:rPr>
        <w:t xml:space="preserve"> (most likely in aqueous toy material and paint tablets to be used with water).</w:t>
      </w:r>
    </w:p>
    <w:p w14:paraId="16BAF7B3" w14:textId="1DBD49F9" w:rsidR="00A61383" w:rsidRPr="002F76CA" w:rsidRDefault="00A61383" w:rsidP="00DC72CD">
      <w:pPr>
        <w:spacing w:after="0" w:line="240" w:lineRule="auto"/>
        <w:ind w:left="708"/>
        <w:jc w:val="both"/>
        <w:rPr>
          <w:sz w:val="18"/>
          <w:szCs w:val="18"/>
          <w:lang w:val="en-GB"/>
        </w:rPr>
      </w:pPr>
    </w:p>
    <w:p w14:paraId="01CB94ED" w14:textId="5F338163" w:rsidR="00A61383" w:rsidRPr="00A61383" w:rsidRDefault="00A61383" w:rsidP="00A61383">
      <w:pPr>
        <w:pStyle w:val="Paragraphedeliste"/>
        <w:numPr>
          <w:ilvl w:val="0"/>
          <w:numId w:val="2"/>
        </w:numPr>
        <w:spacing w:after="0" w:line="240" w:lineRule="auto"/>
        <w:jc w:val="both"/>
        <w:rPr>
          <w:b/>
          <w:bCs/>
          <w:u w:val="single"/>
          <w:lang w:val="en-GB"/>
        </w:rPr>
      </w:pPr>
      <w:r w:rsidRPr="00A61383">
        <w:rPr>
          <w:b/>
          <w:bCs/>
          <w:u w:val="single"/>
          <w:lang w:val="en-GB"/>
        </w:rPr>
        <w:t>Formaldehyde (CAS N° 50-00-0):</w:t>
      </w:r>
    </w:p>
    <w:p w14:paraId="63E9E9B2" w14:textId="6936C088" w:rsidR="00806EEB" w:rsidRDefault="00A61383" w:rsidP="00DC72CD">
      <w:pPr>
        <w:spacing w:after="0" w:line="240" w:lineRule="auto"/>
        <w:ind w:left="708"/>
        <w:jc w:val="both"/>
        <w:rPr>
          <w:lang w:val="en-GB"/>
        </w:rPr>
      </w:pPr>
      <w:r w:rsidRPr="000B2AF5">
        <w:rPr>
          <w:lang w:val="en-GB"/>
        </w:rPr>
        <w:t xml:space="preserve">The </w:t>
      </w:r>
      <w:hyperlink r:id="rId16" w:history="1">
        <w:r w:rsidRPr="000B2AF5">
          <w:rPr>
            <w:rStyle w:val="Lienhypertexte"/>
            <w:lang w:val="en-GB"/>
          </w:rPr>
          <w:t xml:space="preserve">Commission </w:t>
        </w:r>
        <w:r w:rsidR="000B2AF5" w:rsidRPr="000B2AF5">
          <w:rPr>
            <w:rStyle w:val="Lienhypertexte"/>
            <w:lang w:val="en-GB"/>
          </w:rPr>
          <w:t>Directive 2019/1929/EU</w:t>
        </w:r>
      </w:hyperlink>
      <w:r w:rsidR="000B2AF5" w:rsidRPr="000B2AF5">
        <w:rPr>
          <w:lang w:val="en-GB"/>
        </w:rPr>
        <w:t xml:space="preserve"> restricting for</w:t>
      </w:r>
      <w:r w:rsidR="000B2AF5">
        <w:rPr>
          <w:lang w:val="en-GB"/>
        </w:rPr>
        <w:t xml:space="preserve">maldehyde </w:t>
      </w:r>
      <w:r w:rsidR="00E426E7">
        <w:rPr>
          <w:b/>
          <w:bCs/>
          <w:lang w:val="en-GB"/>
        </w:rPr>
        <w:t>applies</w:t>
      </w:r>
      <w:r w:rsidR="000B2AF5" w:rsidRPr="001B0423">
        <w:rPr>
          <w:b/>
          <w:bCs/>
          <w:lang w:val="en-GB"/>
        </w:rPr>
        <w:t xml:space="preserve"> </w:t>
      </w:r>
      <w:r w:rsidR="00E426E7">
        <w:rPr>
          <w:b/>
          <w:bCs/>
          <w:lang w:val="en-GB"/>
        </w:rPr>
        <w:t>since</w:t>
      </w:r>
      <w:r w:rsidR="000B2AF5" w:rsidRPr="001B0423">
        <w:rPr>
          <w:b/>
          <w:bCs/>
          <w:lang w:val="en-GB"/>
        </w:rPr>
        <w:t xml:space="preserve"> 21 May 2021</w:t>
      </w:r>
      <w:r w:rsidR="001B0423">
        <w:rPr>
          <w:b/>
          <w:bCs/>
          <w:lang w:val="en-GB"/>
        </w:rPr>
        <w:t xml:space="preserve">. </w:t>
      </w:r>
      <w:r w:rsidR="001B0423" w:rsidRPr="001B0423">
        <w:rPr>
          <w:lang w:val="en-GB"/>
        </w:rPr>
        <w:t>It</w:t>
      </w:r>
      <w:r w:rsidR="001B0423">
        <w:rPr>
          <w:lang w:val="en-GB"/>
        </w:rPr>
        <w:t xml:space="preserve"> restricts its content in textile, leather, paper and water-based toy materials. It also sets a migration limit for polymeric materials and an emission limit in resin-bonded wood toy materials. The associated test methods are mentioned in the recitals of the Directive.</w:t>
      </w:r>
    </w:p>
    <w:p w14:paraId="34DDAD4C" w14:textId="289336CE" w:rsidR="002F76CA" w:rsidRDefault="002F76CA" w:rsidP="00DC72CD">
      <w:pPr>
        <w:spacing w:after="0" w:line="240" w:lineRule="auto"/>
        <w:ind w:left="708"/>
        <w:jc w:val="both"/>
        <w:rPr>
          <w:lang w:val="en-GB"/>
        </w:rPr>
      </w:pPr>
    </w:p>
    <w:p w14:paraId="1FB73984" w14:textId="77777777" w:rsidR="00806EEB" w:rsidRPr="00806EEB" w:rsidRDefault="00806EEB" w:rsidP="00806EEB">
      <w:pPr>
        <w:pStyle w:val="Paragraphedeliste"/>
        <w:numPr>
          <w:ilvl w:val="0"/>
          <w:numId w:val="2"/>
        </w:numPr>
        <w:spacing w:after="0" w:line="240" w:lineRule="auto"/>
        <w:jc w:val="both"/>
        <w:rPr>
          <w:u w:val="single"/>
          <w:lang w:val="en-GB"/>
        </w:rPr>
      </w:pPr>
      <w:r w:rsidRPr="00806EEB">
        <w:rPr>
          <w:b/>
          <w:u w:val="single"/>
          <w:lang w:val="en-GB"/>
        </w:rPr>
        <w:lastRenderedPageBreak/>
        <w:t>Aniline</w:t>
      </w:r>
      <w:r w:rsidRPr="00806EEB">
        <w:rPr>
          <w:u w:val="single"/>
          <w:lang w:val="en-GB"/>
        </w:rPr>
        <w:t xml:space="preserve"> </w:t>
      </w:r>
      <w:r w:rsidRPr="00806EEB">
        <w:rPr>
          <w:b/>
          <w:u w:val="single"/>
          <w:lang w:val="en-GB"/>
        </w:rPr>
        <w:t>(CAS N° 62-53-3):</w:t>
      </w:r>
    </w:p>
    <w:p w14:paraId="573F24D8" w14:textId="7467A986" w:rsidR="00992449" w:rsidRPr="00843272" w:rsidRDefault="00E426E7" w:rsidP="00843272">
      <w:pPr>
        <w:spacing w:after="0"/>
        <w:ind w:left="709"/>
        <w:jc w:val="both"/>
        <w:rPr>
          <w:szCs w:val="24"/>
          <w:lang w:val="en-GB"/>
        </w:rPr>
      </w:pPr>
      <w:r w:rsidRPr="000B2AF5">
        <w:rPr>
          <w:lang w:val="en-GB"/>
        </w:rPr>
        <w:t xml:space="preserve">The </w:t>
      </w:r>
      <w:hyperlink r:id="rId17" w:history="1">
        <w:r w:rsidRPr="00E426E7">
          <w:rPr>
            <w:rStyle w:val="Lienhypertexte"/>
            <w:lang w:val="en-GB"/>
          </w:rPr>
          <w:t>Commission Directive 2021/903/EU</w:t>
        </w:r>
      </w:hyperlink>
      <w:r w:rsidRPr="000B2AF5">
        <w:rPr>
          <w:lang w:val="en-GB"/>
        </w:rPr>
        <w:t xml:space="preserve"> </w:t>
      </w:r>
      <w:r w:rsidR="0084358D">
        <w:rPr>
          <w:b/>
          <w:bCs/>
          <w:lang w:val="en-GB"/>
        </w:rPr>
        <w:t>applies since</w:t>
      </w:r>
      <w:r>
        <w:rPr>
          <w:b/>
          <w:bCs/>
          <w:lang w:val="en-GB"/>
        </w:rPr>
        <w:t xml:space="preserve"> 05 December</w:t>
      </w:r>
      <w:r w:rsidRPr="001B0423">
        <w:rPr>
          <w:b/>
          <w:bCs/>
          <w:lang w:val="en-GB"/>
        </w:rPr>
        <w:t xml:space="preserve"> 202</w:t>
      </w:r>
      <w:r>
        <w:rPr>
          <w:b/>
          <w:bCs/>
          <w:lang w:val="en-GB"/>
        </w:rPr>
        <w:t xml:space="preserve">2. </w:t>
      </w:r>
      <w:r w:rsidR="00806EEB">
        <w:rPr>
          <w:lang w:val="en-GB"/>
        </w:rPr>
        <w:t>It restrict</w:t>
      </w:r>
      <w:r>
        <w:rPr>
          <w:lang w:val="en-GB"/>
        </w:rPr>
        <w:t>s</w:t>
      </w:r>
      <w:r w:rsidR="00806EEB">
        <w:rPr>
          <w:lang w:val="en-GB"/>
        </w:rPr>
        <w:t xml:space="preserve"> aniline at </w:t>
      </w:r>
      <w:r w:rsidR="00806EEB" w:rsidRPr="00806EEB">
        <w:rPr>
          <w:lang w:val="en-GB"/>
        </w:rPr>
        <w:t xml:space="preserve">30 mg/kg after reductive cleavage in textile and leather toy material, </w:t>
      </w:r>
      <w:r w:rsidR="00806EEB" w:rsidRPr="00806EEB">
        <w:rPr>
          <w:szCs w:val="24"/>
          <w:lang w:val="en-GB"/>
        </w:rPr>
        <w:t>in accordance with the methods laid down in EN 14362-1 and EN 17234-1</w:t>
      </w:r>
      <w:r w:rsidR="00806EEB">
        <w:rPr>
          <w:szCs w:val="24"/>
          <w:lang w:val="en-GB"/>
        </w:rPr>
        <w:t>. It also restrict</w:t>
      </w:r>
      <w:r>
        <w:rPr>
          <w:szCs w:val="24"/>
          <w:lang w:val="en-GB"/>
        </w:rPr>
        <w:t>s</w:t>
      </w:r>
      <w:r w:rsidR="00806EEB">
        <w:rPr>
          <w:szCs w:val="24"/>
          <w:lang w:val="en-GB"/>
        </w:rPr>
        <w:t xml:space="preserve"> aniline at </w:t>
      </w:r>
      <w:r w:rsidR="00806EEB" w:rsidRPr="00806EEB">
        <w:rPr>
          <w:lang w:val="en-GB"/>
        </w:rPr>
        <w:t xml:space="preserve">10 mg/kg </w:t>
      </w:r>
      <w:r w:rsidR="00806EEB">
        <w:rPr>
          <w:lang w:val="en-GB"/>
        </w:rPr>
        <w:t>(</w:t>
      </w:r>
      <w:r w:rsidR="00806EEB" w:rsidRPr="00806EEB">
        <w:rPr>
          <w:lang w:val="en-GB"/>
        </w:rPr>
        <w:t>free aniline</w:t>
      </w:r>
      <w:r w:rsidR="00806EEB">
        <w:rPr>
          <w:lang w:val="en-GB"/>
        </w:rPr>
        <w:t>)</w:t>
      </w:r>
      <w:r w:rsidR="00806EEB" w:rsidRPr="00806EEB">
        <w:rPr>
          <w:lang w:val="en-GB"/>
        </w:rPr>
        <w:t xml:space="preserve"> </w:t>
      </w:r>
      <w:r w:rsidR="00806EEB">
        <w:rPr>
          <w:lang w:val="en-GB"/>
        </w:rPr>
        <w:t xml:space="preserve">and at </w:t>
      </w:r>
      <w:r w:rsidR="00806EEB" w:rsidRPr="00806EEB">
        <w:rPr>
          <w:lang w:val="en-GB"/>
        </w:rPr>
        <w:t>30 mg/kg after reductive cleavage in finger paints</w:t>
      </w:r>
      <w:r w:rsidR="000D52A7">
        <w:rPr>
          <w:lang w:val="en-GB"/>
        </w:rPr>
        <w:t xml:space="preserve"> (to align with the </w:t>
      </w:r>
      <w:r>
        <w:rPr>
          <w:lang w:val="en-GB"/>
        </w:rPr>
        <w:t xml:space="preserve">requirements </w:t>
      </w:r>
      <w:r w:rsidR="000D52A7">
        <w:rPr>
          <w:lang w:val="en-GB"/>
        </w:rPr>
        <w:t>in EN 71-7).</w:t>
      </w:r>
    </w:p>
    <w:p w14:paraId="36EE2D09" w14:textId="77777777" w:rsidR="00A61383" w:rsidRPr="00FB5058" w:rsidRDefault="00A61383" w:rsidP="00FB5058">
      <w:pPr>
        <w:spacing w:after="0" w:line="240" w:lineRule="auto"/>
        <w:jc w:val="both"/>
        <w:rPr>
          <w:lang w:val="en-GB"/>
        </w:rPr>
      </w:pPr>
    </w:p>
    <w:p w14:paraId="577D0C17" w14:textId="77777777" w:rsidR="007655E6" w:rsidRPr="007655E6" w:rsidRDefault="007655E6" w:rsidP="00803153">
      <w:pPr>
        <w:shd w:val="clear" w:color="auto" w:fill="D9D9D9" w:themeFill="background1" w:themeFillShade="D9"/>
        <w:spacing w:after="0" w:line="240" w:lineRule="auto"/>
        <w:jc w:val="both"/>
        <w:rPr>
          <w:b/>
          <w:u w:val="single"/>
          <w:lang w:val="en-GB"/>
        </w:rPr>
      </w:pPr>
      <w:r w:rsidRPr="003E0810">
        <w:rPr>
          <w:b/>
          <w:highlight w:val="lightGray"/>
          <w:u w:val="single"/>
          <w:lang w:val="en-GB"/>
        </w:rPr>
        <w:t>Migration of certain elements:</w:t>
      </w:r>
    </w:p>
    <w:p w14:paraId="7345B6CD" w14:textId="77777777" w:rsidR="00DC72CD" w:rsidRDefault="00DC72CD" w:rsidP="00DC72CD">
      <w:pPr>
        <w:pStyle w:val="Paragraphedeliste"/>
        <w:spacing w:after="0" w:line="240" w:lineRule="auto"/>
        <w:jc w:val="both"/>
        <w:rPr>
          <w:lang w:val="en-GB"/>
        </w:rPr>
      </w:pPr>
    </w:p>
    <w:tbl>
      <w:tblPr>
        <w:tblpPr w:leftFromText="171" w:rightFromText="171" w:bottomFromText="65" w:vertAnchor="text" w:horzAnchor="margin" w:tblpY="24"/>
        <w:tblW w:w="10598" w:type="dxa"/>
        <w:tblLayout w:type="fixed"/>
        <w:tblCellMar>
          <w:left w:w="0" w:type="dxa"/>
          <w:right w:w="0" w:type="dxa"/>
        </w:tblCellMar>
        <w:tblLook w:val="04A0" w:firstRow="1" w:lastRow="0" w:firstColumn="1" w:lastColumn="0" w:noHBand="0" w:noVBand="1"/>
      </w:tblPr>
      <w:tblGrid>
        <w:gridCol w:w="1384"/>
        <w:gridCol w:w="1701"/>
        <w:gridCol w:w="1843"/>
        <w:gridCol w:w="1984"/>
        <w:gridCol w:w="1701"/>
        <w:gridCol w:w="1985"/>
      </w:tblGrid>
      <w:tr w:rsidR="004C4031" w:rsidRPr="0084358D" w14:paraId="0CE9345E" w14:textId="77777777" w:rsidTr="003E0810">
        <w:trPr>
          <w:trHeight w:val="266"/>
        </w:trPr>
        <w:tc>
          <w:tcPr>
            <w:tcW w:w="138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82DE9E" w14:textId="77777777" w:rsidR="004C4031" w:rsidRPr="003C5B44" w:rsidRDefault="004C4031" w:rsidP="003E0810">
            <w:pPr>
              <w:spacing w:line="252" w:lineRule="auto"/>
              <w:rPr>
                <w:rFonts w:ascii="Calibri" w:hAnsi="Calibri" w:cs="Arial"/>
                <w:sz w:val="18"/>
                <w:szCs w:val="18"/>
                <w:lang w:val="en-GB"/>
              </w:rPr>
            </w:pPr>
            <w:r w:rsidRPr="003C5B44">
              <w:rPr>
                <w:rFonts w:ascii="Calibri" w:hAnsi="Calibri" w:cs="Arial"/>
                <w:sz w:val="18"/>
                <w:szCs w:val="18"/>
              </w:rPr>
              <w:t xml:space="preserve">Element </w:t>
            </w:r>
          </w:p>
        </w:tc>
        <w:tc>
          <w:tcPr>
            <w:tcW w:w="7229" w:type="dxa"/>
            <w:gridSpan w:val="4"/>
            <w:tcBorders>
              <w:top w:val="single" w:sz="8" w:space="0" w:color="auto"/>
              <w:left w:val="nil"/>
              <w:bottom w:val="single" w:sz="8" w:space="0" w:color="auto"/>
              <w:right w:val="single" w:sz="8" w:space="0" w:color="000000"/>
            </w:tcBorders>
            <w:shd w:val="clear" w:color="auto" w:fill="DDD9C3"/>
          </w:tcPr>
          <w:p w14:paraId="3BA32EE3" w14:textId="77777777" w:rsidR="004C4031" w:rsidRPr="003C5B44" w:rsidRDefault="004C4031" w:rsidP="003E0810">
            <w:pPr>
              <w:spacing w:line="252" w:lineRule="auto"/>
              <w:jc w:val="center"/>
              <w:rPr>
                <w:rFonts w:ascii="Calibri" w:hAnsi="Calibri" w:cs="Arial"/>
                <w:sz w:val="18"/>
                <w:szCs w:val="18"/>
                <w:lang w:val="en-GB"/>
              </w:rPr>
            </w:pPr>
            <w:r w:rsidRPr="003C5B44">
              <w:rPr>
                <w:rFonts w:ascii="Calibri" w:hAnsi="Calibri" w:cs="Arial"/>
                <w:sz w:val="18"/>
                <w:szCs w:val="18"/>
              </w:rPr>
              <w:t xml:space="preserve">2009/48/EC requirements </w:t>
            </w:r>
          </w:p>
        </w:tc>
        <w:tc>
          <w:tcPr>
            <w:tcW w:w="1985" w:type="dxa"/>
            <w:tcBorders>
              <w:top w:val="single" w:sz="8" w:space="0" w:color="auto"/>
              <w:left w:val="nil"/>
              <w:bottom w:val="single" w:sz="8" w:space="0" w:color="auto"/>
              <w:right w:val="single" w:sz="8" w:space="0" w:color="000000"/>
            </w:tcBorders>
            <w:shd w:val="clear" w:color="auto" w:fill="DDD9C3"/>
          </w:tcPr>
          <w:p w14:paraId="7E4A8BFC" w14:textId="77777777" w:rsidR="004C4031" w:rsidRPr="008E4BB4" w:rsidRDefault="008E4BB4" w:rsidP="003E0810">
            <w:pPr>
              <w:spacing w:after="0" w:line="240" w:lineRule="auto"/>
              <w:jc w:val="center"/>
              <w:rPr>
                <w:rFonts w:ascii="Calibri" w:hAnsi="Calibri" w:cs="Arial"/>
                <w:sz w:val="18"/>
                <w:szCs w:val="18"/>
                <w:lang w:val="en-GB"/>
              </w:rPr>
            </w:pPr>
            <w:r>
              <w:rPr>
                <w:rFonts w:ascii="Calibri" w:hAnsi="Calibri" w:cs="Arial"/>
                <w:sz w:val="18"/>
                <w:szCs w:val="18"/>
                <w:lang w:val="en-GB"/>
              </w:rPr>
              <w:t>Legislative text -  date of application</w:t>
            </w:r>
          </w:p>
        </w:tc>
      </w:tr>
      <w:tr w:rsidR="004C4031" w:rsidRPr="0084358D" w14:paraId="33FEF63A" w14:textId="77777777" w:rsidTr="004D1265">
        <w:trPr>
          <w:trHeight w:val="660"/>
        </w:trPr>
        <w:tc>
          <w:tcPr>
            <w:tcW w:w="1384" w:type="dxa"/>
            <w:vMerge/>
            <w:tcBorders>
              <w:top w:val="single" w:sz="8" w:space="0" w:color="auto"/>
              <w:left w:val="single" w:sz="8" w:space="0" w:color="auto"/>
              <w:bottom w:val="single" w:sz="12" w:space="0" w:color="auto"/>
              <w:right w:val="single" w:sz="8" w:space="0" w:color="auto"/>
            </w:tcBorders>
            <w:vAlign w:val="center"/>
            <w:hideMark/>
          </w:tcPr>
          <w:p w14:paraId="698AAA53" w14:textId="77777777" w:rsidR="004C4031" w:rsidRPr="003C5B44" w:rsidRDefault="004C4031" w:rsidP="003E0810">
            <w:pPr>
              <w:rPr>
                <w:rFonts w:ascii="Calibri" w:hAnsi="Calibri" w:cs="Arial"/>
                <w:sz w:val="18"/>
                <w:szCs w:val="18"/>
                <w:lang w:val="en-GB"/>
              </w:rPr>
            </w:pPr>
          </w:p>
        </w:tc>
        <w:tc>
          <w:tcPr>
            <w:tcW w:w="1701" w:type="dxa"/>
            <w:tcBorders>
              <w:top w:val="nil"/>
              <w:left w:val="nil"/>
              <w:bottom w:val="single" w:sz="12" w:space="0" w:color="auto"/>
              <w:right w:val="single" w:sz="4" w:space="0" w:color="auto"/>
            </w:tcBorders>
            <w:shd w:val="clear" w:color="auto" w:fill="DDD9C3"/>
          </w:tcPr>
          <w:p w14:paraId="07B52A7E" w14:textId="77777777" w:rsidR="004C4031" w:rsidRPr="003C5B44" w:rsidRDefault="004C4031" w:rsidP="003E0810">
            <w:pPr>
              <w:spacing w:line="252" w:lineRule="auto"/>
              <w:jc w:val="center"/>
              <w:rPr>
                <w:rFonts w:ascii="Calibri" w:hAnsi="Calibri" w:cs="Arial"/>
                <w:sz w:val="18"/>
                <w:szCs w:val="18"/>
                <w:lang w:val="en-GB"/>
              </w:rPr>
            </w:pPr>
          </w:p>
        </w:tc>
        <w:tc>
          <w:tcPr>
            <w:tcW w:w="1843" w:type="dxa"/>
            <w:tcBorders>
              <w:top w:val="nil"/>
              <w:left w:val="single" w:sz="4" w:space="0" w:color="auto"/>
              <w:bottom w:val="single" w:sz="12" w:space="0" w:color="auto"/>
              <w:right w:val="single" w:sz="8" w:space="0" w:color="auto"/>
            </w:tcBorders>
            <w:shd w:val="clear" w:color="auto" w:fill="DDD9C3"/>
            <w:tcMar>
              <w:top w:w="0" w:type="dxa"/>
              <w:left w:w="108" w:type="dxa"/>
              <w:bottom w:w="0" w:type="dxa"/>
              <w:right w:w="108" w:type="dxa"/>
            </w:tcMar>
            <w:vAlign w:val="center"/>
            <w:hideMark/>
          </w:tcPr>
          <w:p w14:paraId="4C2BCC4F" w14:textId="77777777" w:rsidR="004C4031" w:rsidRPr="003C5B44" w:rsidRDefault="004C4031" w:rsidP="003E0810">
            <w:pPr>
              <w:spacing w:line="252" w:lineRule="auto"/>
              <w:jc w:val="center"/>
              <w:rPr>
                <w:rFonts w:ascii="Calibri" w:hAnsi="Calibri" w:cs="Arial"/>
                <w:sz w:val="18"/>
                <w:szCs w:val="18"/>
                <w:lang w:val="en-GB"/>
              </w:rPr>
            </w:pPr>
            <w:r w:rsidRPr="003C5B44">
              <w:rPr>
                <w:rFonts w:ascii="Calibri" w:hAnsi="Calibri" w:cs="Arial"/>
                <w:sz w:val="18"/>
                <w:szCs w:val="18"/>
                <w:lang w:val="en-GB"/>
              </w:rPr>
              <w:t>mg/kg in dry, brittle, powderlike or pliable toy material</w:t>
            </w:r>
          </w:p>
        </w:tc>
        <w:tc>
          <w:tcPr>
            <w:tcW w:w="1984" w:type="dxa"/>
            <w:tcBorders>
              <w:top w:val="nil"/>
              <w:left w:val="nil"/>
              <w:bottom w:val="single" w:sz="12" w:space="0" w:color="auto"/>
              <w:right w:val="single" w:sz="8" w:space="0" w:color="auto"/>
            </w:tcBorders>
            <w:shd w:val="clear" w:color="auto" w:fill="DDD9C3"/>
            <w:tcMar>
              <w:top w:w="0" w:type="dxa"/>
              <w:left w:w="108" w:type="dxa"/>
              <w:bottom w:w="0" w:type="dxa"/>
              <w:right w:w="108" w:type="dxa"/>
            </w:tcMar>
            <w:vAlign w:val="center"/>
            <w:hideMark/>
          </w:tcPr>
          <w:p w14:paraId="4749D6CE" w14:textId="77777777" w:rsidR="004C4031" w:rsidRPr="003C5B44" w:rsidRDefault="004C4031" w:rsidP="003E0810">
            <w:pPr>
              <w:spacing w:line="252" w:lineRule="auto"/>
              <w:jc w:val="center"/>
              <w:rPr>
                <w:rFonts w:ascii="Calibri" w:hAnsi="Calibri" w:cs="Arial"/>
                <w:sz w:val="18"/>
                <w:szCs w:val="18"/>
                <w:lang w:val="en-GB"/>
              </w:rPr>
            </w:pPr>
            <w:r w:rsidRPr="003C5B44">
              <w:rPr>
                <w:rFonts w:ascii="Calibri" w:hAnsi="Calibri" w:cs="Arial"/>
                <w:sz w:val="18"/>
                <w:szCs w:val="18"/>
                <w:lang w:val="en-GB"/>
              </w:rPr>
              <w:t>mg/kg in liquid or sticky toy material              </w:t>
            </w:r>
          </w:p>
        </w:tc>
        <w:tc>
          <w:tcPr>
            <w:tcW w:w="1701" w:type="dxa"/>
            <w:tcBorders>
              <w:top w:val="nil"/>
              <w:left w:val="nil"/>
              <w:bottom w:val="single" w:sz="12" w:space="0" w:color="auto"/>
              <w:right w:val="single" w:sz="8" w:space="0" w:color="auto"/>
            </w:tcBorders>
            <w:shd w:val="clear" w:color="auto" w:fill="DDD9C3"/>
            <w:tcMar>
              <w:top w:w="0" w:type="dxa"/>
              <w:left w:w="108" w:type="dxa"/>
              <w:bottom w:w="0" w:type="dxa"/>
              <w:right w:w="108" w:type="dxa"/>
            </w:tcMar>
            <w:vAlign w:val="center"/>
            <w:hideMark/>
          </w:tcPr>
          <w:p w14:paraId="76C26A16" w14:textId="77777777" w:rsidR="004C4031" w:rsidRPr="003C5B44" w:rsidRDefault="004C4031" w:rsidP="003E0810">
            <w:pPr>
              <w:spacing w:line="252" w:lineRule="auto"/>
              <w:jc w:val="center"/>
              <w:rPr>
                <w:rFonts w:ascii="Calibri" w:hAnsi="Calibri" w:cs="Arial"/>
                <w:sz w:val="18"/>
                <w:szCs w:val="18"/>
                <w:lang w:val="en-GB"/>
              </w:rPr>
            </w:pPr>
            <w:r w:rsidRPr="003C5B44">
              <w:rPr>
                <w:rFonts w:ascii="Calibri" w:hAnsi="Calibri" w:cs="Arial"/>
                <w:sz w:val="18"/>
                <w:szCs w:val="18"/>
                <w:lang w:val="en-GB"/>
              </w:rPr>
              <w:t>mg/kg in scraped off toy material</w:t>
            </w:r>
          </w:p>
        </w:tc>
        <w:tc>
          <w:tcPr>
            <w:tcW w:w="1985" w:type="dxa"/>
            <w:tcBorders>
              <w:top w:val="nil"/>
              <w:left w:val="nil"/>
              <w:bottom w:val="single" w:sz="12" w:space="0" w:color="auto"/>
              <w:right w:val="single" w:sz="8" w:space="0" w:color="auto"/>
            </w:tcBorders>
            <w:shd w:val="clear" w:color="auto" w:fill="DDD9C3"/>
          </w:tcPr>
          <w:p w14:paraId="1B6CB240" w14:textId="77777777" w:rsidR="004C4031" w:rsidRPr="003C5B44" w:rsidRDefault="004C4031" w:rsidP="003E0810">
            <w:pPr>
              <w:spacing w:line="252" w:lineRule="auto"/>
              <w:rPr>
                <w:rFonts w:ascii="Calibri" w:hAnsi="Calibri" w:cs="Arial"/>
                <w:sz w:val="18"/>
                <w:szCs w:val="18"/>
                <w:lang w:val="en-GB"/>
              </w:rPr>
            </w:pPr>
          </w:p>
        </w:tc>
      </w:tr>
      <w:tr w:rsidR="004C4031" w:rsidRPr="006E33A1" w14:paraId="41CE713A" w14:textId="77777777" w:rsidTr="003E0810">
        <w:trPr>
          <w:trHeight w:val="228"/>
        </w:trPr>
        <w:tc>
          <w:tcPr>
            <w:tcW w:w="1384" w:type="dxa"/>
            <w:vMerge w:val="restart"/>
            <w:tcBorders>
              <w:top w:val="single" w:sz="12" w:space="0" w:color="auto"/>
              <w:left w:val="single" w:sz="8" w:space="0" w:color="auto"/>
              <w:right w:val="single" w:sz="8" w:space="0" w:color="auto"/>
            </w:tcBorders>
            <w:tcMar>
              <w:top w:w="0" w:type="dxa"/>
              <w:left w:w="108" w:type="dxa"/>
              <w:bottom w:w="0" w:type="dxa"/>
              <w:right w:w="108" w:type="dxa"/>
            </w:tcMar>
            <w:vAlign w:val="center"/>
            <w:hideMark/>
          </w:tcPr>
          <w:p w14:paraId="5738D2A8" w14:textId="77777777" w:rsidR="004C4031" w:rsidRPr="0002171D" w:rsidRDefault="004C4031" w:rsidP="003E0810">
            <w:pPr>
              <w:spacing w:line="252" w:lineRule="auto"/>
              <w:rPr>
                <w:rFonts w:ascii="Calibri" w:hAnsi="Calibri" w:cs="Arial"/>
                <w:sz w:val="18"/>
                <w:szCs w:val="18"/>
                <w:lang w:val="en-GB"/>
              </w:rPr>
            </w:pPr>
          </w:p>
          <w:p w14:paraId="39F64ABA" w14:textId="77777777" w:rsidR="004C4031" w:rsidRPr="004C4031" w:rsidRDefault="004C4031" w:rsidP="009F6522">
            <w:pPr>
              <w:spacing w:line="252" w:lineRule="auto"/>
              <w:rPr>
                <w:rFonts w:ascii="Calibri" w:hAnsi="Calibri" w:cs="Arial"/>
                <w:sz w:val="18"/>
                <w:szCs w:val="18"/>
              </w:rPr>
            </w:pPr>
            <w:r>
              <w:rPr>
                <w:rFonts w:ascii="Calibri" w:hAnsi="Calibri" w:cs="Arial"/>
                <w:sz w:val="18"/>
                <w:szCs w:val="18"/>
              </w:rPr>
              <w:t>Bar</w:t>
            </w:r>
            <w:r w:rsidR="009F6522">
              <w:rPr>
                <w:rFonts w:ascii="Calibri" w:hAnsi="Calibri" w:cs="Arial"/>
                <w:sz w:val="18"/>
                <w:szCs w:val="18"/>
              </w:rPr>
              <w:t>i</w:t>
            </w:r>
            <w:r>
              <w:rPr>
                <w:rFonts w:ascii="Calibri" w:hAnsi="Calibri" w:cs="Arial"/>
                <w:sz w:val="18"/>
                <w:szCs w:val="18"/>
              </w:rPr>
              <w:t>um</w:t>
            </w:r>
          </w:p>
        </w:tc>
        <w:tc>
          <w:tcPr>
            <w:tcW w:w="1701" w:type="dxa"/>
            <w:tcBorders>
              <w:top w:val="single" w:sz="12" w:space="0" w:color="auto"/>
              <w:left w:val="nil"/>
              <w:bottom w:val="single" w:sz="8" w:space="0" w:color="auto"/>
              <w:right w:val="single" w:sz="4" w:space="0" w:color="auto"/>
            </w:tcBorders>
            <w:shd w:val="clear" w:color="auto" w:fill="DDD9C3"/>
            <w:vAlign w:val="center"/>
          </w:tcPr>
          <w:p w14:paraId="389D974A" w14:textId="77777777" w:rsidR="004C4031" w:rsidRPr="003C5B44" w:rsidRDefault="004C4031" w:rsidP="003E0810">
            <w:pPr>
              <w:spacing w:line="252" w:lineRule="auto"/>
              <w:jc w:val="center"/>
              <w:rPr>
                <w:rFonts w:ascii="Calibri" w:hAnsi="Calibri" w:cs="Arial"/>
                <w:sz w:val="18"/>
                <w:szCs w:val="18"/>
              </w:rPr>
            </w:pPr>
            <w:r>
              <w:rPr>
                <w:rFonts w:ascii="Calibri" w:hAnsi="Calibri" w:cs="Arial"/>
                <w:sz w:val="18"/>
                <w:szCs w:val="18"/>
              </w:rPr>
              <w:t>Original TSD limits</w:t>
            </w:r>
          </w:p>
        </w:tc>
        <w:tc>
          <w:tcPr>
            <w:tcW w:w="1843" w:type="dxa"/>
            <w:tcBorders>
              <w:top w:val="single" w:sz="12" w:space="0" w:color="auto"/>
              <w:left w:val="single" w:sz="4" w:space="0" w:color="auto"/>
              <w:bottom w:val="single" w:sz="4" w:space="0" w:color="auto"/>
              <w:right w:val="single" w:sz="4" w:space="0" w:color="auto"/>
            </w:tcBorders>
            <w:shd w:val="clear" w:color="auto" w:fill="DDD9C3"/>
            <w:tcMar>
              <w:top w:w="0" w:type="dxa"/>
              <w:left w:w="108" w:type="dxa"/>
              <w:bottom w:w="0" w:type="dxa"/>
              <w:right w:w="108" w:type="dxa"/>
            </w:tcMar>
            <w:vAlign w:val="bottom"/>
          </w:tcPr>
          <w:p w14:paraId="10C1C3EF" w14:textId="77777777" w:rsidR="004C4031" w:rsidRPr="003C5B44" w:rsidRDefault="004C4031" w:rsidP="003E0810">
            <w:pPr>
              <w:spacing w:line="252" w:lineRule="auto"/>
              <w:jc w:val="center"/>
              <w:rPr>
                <w:rFonts w:ascii="Calibri" w:hAnsi="Calibri" w:cs="Arial"/>
                <w:sz w:val="18"/>
                <w:szCs w:val="18"/>
                <w:lang w:val="en-GB"/>
              </w:rPr>
            </w:pPr>
            <w:r>
              <w:rPr>
                <w:rFonts w:ascii="Calibri" w:hAnsi="Calibri" w:cs="Arial"/>
                <w:sz w:val="18"/>
                <w:szCs w:val="18"/>
                <w:lang w:val="en-GB"/>
              </w:rPr>
              <w:t>4500</w:t>
            </w:r>
          </w:p>
        </w:tc>
        <w:tc>
          <w:tcPr>
            <w:tcW w:w="1984" w:type="dxa"/>
            <w:tcBorders>
              <w:top w:val="single" w:sz="12" w:space="0" w:color="auto"/>
              <w:left w:val="single" w:sz="4" w:space="0" w:color="auto"/>
              <w:bottom w:val="single" w:sz="4" w:space="0" w:color="auto"/>
              <w:right w:val="single" w:sz="4" w:space="0" w:color="auto"/>
            </w:tcBorders>
            <w:shd w:val="clear" w:color="auto" w:fill="DDD9C3"/>
            <w:tcMar>
              <w:top w:w="0" w:type="dxa"/>
              <w:left w:w="108" w:type="dxa"/>
              <w:bottom w:w="0" w:type="dxa"/>
              <w:right w:w="108" w:type="dxa"/>
            </w:tcMar>
            <w:vAlign w:val="bottom"/>
          </w:tcPr>
          <w:p w14:paraId="74865753" w14:textId="77777777" w:rsidR="004C4031" w:rsidRPr="003C5B44" w:rsidRDefault="004C4031" w:rsidP="003E0810">
            <w:pPr>
              <w:spacing w:line="252" w:lineRule="auto"/>
              <w:jc w:val="center"/>
              <w:rPr>
                <w:rFonts w:ascii="Calibri" w:hAnsi="Calibri" w:cs="Arial"/>
                <w:sz w:val="18"/>
                <w:szCs w:val="18"/>
                <w:lang w:val="en-GB"/>
              </w:rPr>
            </w:pPr>
            <w:r>
              <w:rPr>
                <w:rFonts w:ascii="Calibri" w:hAnsi="Calibri" w:cs="Arial"/>
                <w:sz w:val="18"/>
                <w:szCs w:val="18"/>
                <w:lang w:val="en-GB"/>
              </w:rPr>
              <w:t>1125</w:t>
            </w:r>
          </w:p>
        </w:tc>
        <w:tc>
          <w:tcPr>
            <w:tcW w:w="1701" w:type="dxa"/>
            <w:tcBorders>
              <w:top w:val="single" w:sz="12" w:space="0" w:color="auto"/>
              <w:left w:val="single" w:sz="4" w:space="0" w:color="auto"/>
              <w:bottom w:val="single" w:sz="4" w:space="0" w:color="auto"/>
              <w:right w:val="single" w:sz="4" w:space="0" w:color="auto"/>
            </w:tcBorders>
            <w:shd w:val="clear" w:color="auto" w:fill="DDD9C3"/>
            <w:tcMar>
              <w:top w:w="0" w:type="dxa"/>
              <w:left w:w="108" w:type="dxa"/>
              <w:bottom w:w="0" w:type="dxa"/>
              <w:right w:w="108" w:type="dxa"/>
            </w:tcMar>
            <w:vAlign w:val="center"/>
          </w:tcPr>
          <w:p w14:paraId="60D1117F" w14:textId="77777777" w:rsidR="004C4031" w:rsidRPr="003D2E4D" w:rsidRDefault="004C4031" w:rsidP="003E0810">
            <w:pPr>
              <w:spacing w:line="252" w:lineRule="auto"/>
              <w:jc w:val="center"/>
              <w:rPr>
                <w:rFonts w:ascii="Calibri" w:hAnsi="Calibri" w:cs="Arial"/>
                <w:sz w:val="18"/>
                <w:szCs w:val="18"/>
                <w:lang w:val="en-GB"/>
              </w:rPr>
            </w:pPr>
            <w:r w:rsidRPr="003D2E4D">
              <w:rPr>
                <w:rFonts w:ascii="Calibri" w:hAnsi="Calibri" w:cs="Arial"/>
                <w:sz w:val="18"/>
                <w:szCs w:val="18"/>
                <w:lang w:val="en-GB"/>
              </w:rPr>
              <w:t>560</w:t>
            </w:r>
            <w:r>
              <w:rPr>
                <w:rFonts w:ascii="Calibri" w:hAnsi="Calibri" w:cs="Arial"/>
                <w:sz w:val="18"/>
                <w:szCs w:val="18"/>
                <w:lang w:val="en-GB"/>
              </w:rPr>
              <w:t>00</w:t>
            </w:r>
          </w:p>
        </w:tc>
        <w:tc>
          <w:tcPr>
            <w:tcW w:w="1985" w:type="dxa"/>
            <w:tcBorders>
              <w:top w:val="single" w:sz="12" w:space="0" w:color="auto"/>
              <w:left w:val="single" w:sz="4" w:space="0" w:color="auto"/>
              <w:bottom w:val="single" w:sz="4" w:space="0" w:color="auto"/>
              <w:right w:val="single" w:sz="4" w:space="0" w:color="auto"/>
            </w:tcBorders>
            <w:shd w:val="clear" w:color="auto" w:fill="DDD9C3"/>
          </w:tcPr>
          <w:p w14:paraId="4F992933" w14:textId="77777777" w:rsidR="004C4031" w:rsidRPr="003D2E4D" w:rsidRDefault="004C4031" w:rsidP="003E0810">
            <w:pPr>
              <w:spacing w:line="252" w:lineRule="auto"/>
              <w:jc w:val="center"/>
              <w:rPr>
                <w:rFonts w:ascii="Calibri" w:hAnsi="Calibri" w:cs="Arial"/>
                <w:sz w:val="18"/>
                <w:szCs w:val="18"/>
                <w:lang w:val="en-GB"/>
              </w:rPr>
            </w:pPr>
          </w:p>
        </w:tc>
      </w:tr>
      <w:tr w:rsidR="004C4031" w:rsidRPr="0084358D" w14:paraId="7D7EA323" w14:textId="77777777" w:rsidTr="003E0810">
        <w:trPr>
          <w:trHeight w:val="662"/>
        </w:trPr>
        <w:tc>
          <w:tcPr>
            <w:tcW w:w="1384" w:type="dxa"/>
            <w:vMerge/>
            <w:tcBorders>
              <w:left w:val="single" w:sz="8" w:space="0" w:color="auto"/>
              <w:bottom w:val="single" w:sz="12" w:space="0" w:color="auto"/>
              <w:right w:val="single" w:sz="8" w:space="0" w:color="auto"/>
            </w:tcBorders>
            <w:tcMar>
              <w:top w:w="0" w:type="dxa"/>
              <w:left w:w="108" w:type="dxa"/>
              <w:bottom w:w="0" w:type="dxa"/>
              <w:right w:w="108" w:type="dxa"/>
            </w:tcMar>
            <w:vAlign w:val="center"/>
          </w:tcPr>
          <w:p w14:paraId="27DAA6E6" w14:textId="77777777" w:rsidR="004C4031" w:rsidRPr="003C5B44" w:rsidRDefault="004C4031" w:rsidP="003E0810">
            <w:pPr>
              <w:spacing w:line="252" w:lineRule="auto"/>
              <w:rPr>
                <w:rFonts w:ascii="Calibri" w:hAnsi="Calibri" w:cs="Arial"/>
                <w:sz w:val="18"/>
                <w:szCs w:val="18"/>
              </w:rPr>
            </w:pPr>
          </w:p>
        </w:tc>
        <w:tc>
          <w:tcPr>
            <w:tcW w:w="1701" w:type="dxa"/>
            <w:tcBorders>
              <w:top w:val="single" w:sz="8" w:space="0" w:color="auto"/>
              <w:left w:val="nil"/>
              <w:bottom w:val="single" w:sz="12" w:space="0" w:color="auto"/>
              <w:right w:val="single" w:sz="4" w:space="0" w:color="auto"/>
            </w:tcBorders>
            <w:shd w:val="clear" w:color="auto" w:fill="DDD9C3"/>
            <w:vAlign w:val="center"/>
          </w:tcPr>
          <w:p w14:paraId="0A417D74" w14:textId="77777777" w:rsidR="004C4031" w:rsidRPr="00744729" w:rsidRDefault="004C4031" w:rsidP="003E0810">
            <w:pPr>
              <w:spacing w:line="252" w:lineRule="auto"/>
              <w:jc w:val="center"/>
              <w:rPr>
                <w:rFonts w:ascii="Calibri" w:hAnsi="Calibri" w:cs="Arial"/>
                <w:b/>
                <w:sz w:val="18"/>
                <w:szCs w:val="18"/>
              </w:rPr>
            </w:pPr>
            <w:r w:rsidRPr="00744729">
              <w:rPr>
                <w:rFonts w:ascii="Calibri" w:hAnsi="Calibri" w:cs="Arial"/>
                <w:b/>
                <w:sz w:val="18"/>
                <w:szCs w:val="18"/>
              </w:rPr>
              <w:t>New limits</w:t>
            </w:r>
          </w:p>
        </w:tc>
        <w:tc>
          <w:tcPr>
            <w:tcW w:w="1843" w:type="dxa"/>
            <w:tcBorders>
              <w:top w:val="single" w:sz="4" w:space="0" w:color="auto"/>
              <w:left w:val="single" w:sz="4" w:space="0" w:color="auto"/>
              <w:bottom w:val="single" w:sz="12" w:space="0" w:color="auto"/>
              <w:right w:val="single" w:sz="4" w:space="0" w:color="auto"/>
            </w:tcBorders>
            <w:shd w:val="clear" w:color="auto" w:fill="DDD9C3"/>
            <w:tcMar>
              <w:top w:w="0" w:type="dxa"/>
              <w:left w:w="108" w:type="dxa"/>
              <w:bottom w:w="0" w:type="dxa"/>
              <w:right w:w="108" w:type="dxa"/>
            </w:tcMar>
            <w:vAlign w:val="center"/>
          </w:tcPr>
          <w:p w14:paraId="0D7691F4" w14:textId="77777777" w:rsidR="004C4031" w:rsidRPr="003C5B44" w:rsidRDefault="004C4031" w:rsidP="003E0810">
            <w:pPr>
              <w:spacing w:line="252" w:lineRule="auto"/>
              <w:jc w:val="center"/>
              <w:rPr>
                <w:rFonts w:ascii="Calibri" w:hAnsi="Calibri" w:cs="Arial"/>
                <w:sz w:val="18"/>
                <w:szCs w:val="18"/>
              </w:rPr>
            </w:pPr>
            <w:r>
              <w:rPr>
                <w:rFonts w:ascii="Calibri" w:hAnsi="Calibri" w:cs="Arial"/>
                <w:sz w:val="18"/>
                <w:szCs w:val="18"/>
              </w:rPr>
              <w:t>1500</w:t>
            </w:r>
          </w:p>
        </w:tc>
        <w:tc>
          <w:tcPr>
            <w:tcW w:w="1984" w:type="dxa"/>
            <w:tcBorders>
              <w:top w:val="single" w:sz="4" w:space="0" w:color="auto"/>
              <w:left w:val="single" w:sz="4" w:space="0" w:color="auto"/>
              <w:bottom w:val="single" w:sz="12" w:space="0" w:color="auto"/>
              <w:right w:val="single" w:sz="4" w:space="0" w:color="auto"/>
            </w:tcBorders>
            <w:shd w:val="clear" w:color="auto" w:fill="DDD9C3"/>
            <w:tcMar>
              <w:top w:w="0" w:type="dxa"/>
              <w:left w:w="108" w:type="dxa"/>
              <w:bottom w:w="0" w:type="dxa"/>
              <w:right w:w="108" w:type="dxa"/>
            </w:tcMar>
            <w:vAlign w:val="bottom"/>
          </w:tcPr>
          <w:p w14:paraId="18C9E3B5" w14:textId="77777777" w:rsidR="004C4031" w:rsidRPr="003C5B44" w:rsidRDefault="004C4031" w:rsidP="003E0810">
            <w:pPr>
              <w:spacing w:line="480" w:lineRule="auto"/>
              <w:jc w:val="center"/>
              <w:rPr>
                <w:rFonts w:ascii="Calibri" w:hAnsi="Calibri" w:cs="Arial"/>
                <w:sz w:val="18"/>
                <w:szCs w:val="18"/>
                <w:lang w:val="en-GB"/>
              </w:rPr>
            </w:pPr>
            <w:r>
              <w:rPr>
                <w:rFonts w:ascii="Calibri" w:hAnsi="Calibri" w:cs="Arial"/>
                <w:sz w:val="18"/>
                <w:szCs w:val="18"/>
                <w:lang w:val="en-GB"/>
              </w:rPr>
              <w:t>375</w:t>
            </w:r>
          </w:p>
        </w:tc>
        <w:tc>
          <w:tcPr>
            <w:tcW w:w="1701" w:type="dxa"/>
            <w:tcBorders>
              <w:top w:val="single" w:sz="4" w:space="0" w:color="auto"/>
              <w:left w:val="single" w:sz="4" w:space="0" w:color="auto"/>
              <w:bottom w:val="single" w:sz="12" w:space="0" w:color="auto"/>
              <w:right w:val="single" w:sz="4" w:space="0" w:color="auto"/>
            </w:tcBorders>
            <w:shd w:val="clear" w:color="auto" w:fill="DDD9C3"/>
            <w:tcMar>
              <w:top w:w="0" w:type="dxa"/>
              <w:left w:w="108" w:type="dxa"/>
              <w:bottom w:w="0" w:type="dxa"/>
              <w:right w:w="108" w:type="dxa"/>
            </w:tcMar>
            <w:vAlign w:val="center"/>
          </w:tcPr>
          <w:p w14:paraId="143154B9" w14:textId="77777777" w:rsidR="004C4031" w:rsidRPr="003D2E4D" w:rsidRDefault="004C4031" w:rsidP="003E0810">
            <w:pPr>
              <w:jc w:val="center"/>
              <w:rPr>
                <w:rFonts w:ascii="Calibri" w:hAnsi="Calibri" w:cs="Arial"/>
                <w:color w:val="FF0000"/>
                <w:sz w:val="18"/>
                <w:szCs w:val="18"/>
                <w:lang w:val="en-GB"/>
              </w:rPr>
            </w:pPr>
            <w:r w:rsidRPr="004C4031">
              <w:rPr>
                <w:rFonts w:ascii="Calibri" w:hAnsi="Calibri" w:cs="Arial"/>
                <w:sz w:val="18"/>
                <w:szCs w:val="18"/>
                <w:lang w:val="en-GB"/>
              </w:rPr>
              <w:t>18750</w:t>
            </w:r>
          </w:p>
        </w:tc>
        <w:tc>
          <w:tcPr>
            <w:tcW w:w="1985" w:type="dxa"/>
            <w:tcBorders>
              <w:top w:val="single" w:sz="4" w:space="0" w:color="auto"/>
              <w:left w:val="single" w:sz="4" w:space="0" w:color="auto"/>
              <w:bottom w:val="single" w:sz="12" w:space="0" w:color="auto"/>
              <w:right w:val="single" w:sz="4" w:space="0" w:color="auto"/>
            </w:tcBorders>
            <w:shd w:val="clear" w:color="auto" w:fill="DDD9C3"/>
          </w:tcPr>
          <w:p w14:paraId="438BF900" w14:textId="77777777" w:rsidR="00190D39" w:rsidRDefault="00D0766B" w:rsidP="003E0810">
            <w:pPr>
              <w:spacing w:after="0" w:line="240" w:lineRule="auto"/>
              <w:jc w:val="center"/>
              <w:rPr>
                <w:rFonts w:ascii="Calibri" w:hAnsi="Calibri" w:cs="Arial"/>
                <w:sz w:val="18"/>
                <w:szCs w:val="18"/>
                <w:lang w:val="en-GB"/>
              </w:rPr>
            </w:pPr>
            <w:hyperlink r:id="rId18" w:history="1">
              <w:r w:rsidR="004C4031" w:rsidRPr="0002171D">
                <w:rPr>
                  <w:rStyle w:val="Lienhypertexte"/>
                  <w:rFonts w:ascii="Calibri" w:hAnsi="Calibri" w:cs="Arial"/>
                  <w:sz w:val="18"/>
                  <w:szCs w:val="18"/>
                  <w:lang w:val="en-GB"/>
                </w:rPr>
                <w:t>Commission Regulation 681/2103</w:t>
              </w:r>
            </w:hyperlink>
            <w:r w:rsidR="0002171D">
              <w:rPr>
                <w:rFonts w:ascii="Calibri" w:hAnsi="Calibri" w:cs="Arial"/>
                <w:sz w:val="18"/>
                <w:szCs w:val="18"/>
                <w:lang w:val="en-GB"/>
              </w:rPr>
              <w:t xml:space="preserve"> </w:t>
            </w:r>
          </w:p>
          <w:p w14:paraId="6BDC4CE3" w14:textId="77777777" w:rsidR="004C4031" w:rsidRPr="00744729" w:rsidRDefault="0002171D" w:rsidP="003E0810">
            <w:pPr>
              <w:spacing w:after="0" w:line="240" w:lineRule="auto"/>
              <w:jc w:val="center"/>
              <w:rPr>
                <w:rFonts w:ascii="Calibri" w:hAnsi="Calibri" w:cs="Arial"/>
                <w:b/>
                <w:sz w:val="18"/>
                <w:szCs w:val="18"/>
                <w:lang w:val="en-GB"/>
              </w:rPr>
            </w:pPr>
            <w:r w:rsidRPr="00744729">
              <w:rPr>
                <w:rFonts w:ascii="Calibri" w:hAnsi="Calibri" w:cs="Arial"/>
                <w:b/>
                <w:sz w:val="18"/>
                <w:szCs w:val="18"/>
                <w:lang w:val="en-GB"/>
              </w:rPr>
              <w:t xml:space="preserve">Applies </w:t>
            </w:r>
            <w:r w:rsidR="00190D39" w:rsidRPr="00744729">
              <w:rPr>
                <w:rFonts w:ascii="Calibri" w:hAnsi="Calibri" w:cs="Arial"/>
                <w:b/>
                <w:sz w:val="18"/>
                <w:szCs w:val="18"/>
                <w:lang w:val="en-GB"/>
              </w:rPr>
              <w:t>since</w:t>
            </w:r>
            <w:r w:rsidRPr="00744729">
              <w:rPr>
                <w:rFonts w:ascii="Calibri" w:hAnsi="Calibri" w:cs="Arial"/>
                <w:b/>
                <w:sz w:val="18"/>
                <w:szCs w:val="18"/>
                <w:lang w:val="en-GB"/>
              </w:rPr>
              <w:t xml:space="preserve"> July 2013 </w:t>
            </w:r>
          </w:p>
        </w:tc>
      </w:tr>
      <w:tr w:rsidR="004C4031" w14:paraId="6D74852B" w14:textId="77777777" w:rsidTr="003E0810">
        <w:trPr>
          <w:trHeight w:val="462"/>
        </w:trPr>
        <w:tc>
          <w:tcPr>
            <w:tcW w:w="1384" w:type="dxa"/>
            <w:vMerge w:val="restart"/>
            <w:tcBorders>
              <w:top w:val="single" w:sz="12" w:space="0" w:color="auto"/>
              <w:left w:val="single" w:sz="8" w:space="0" w:color="auto"/>
              <w:right w:val="single" w:sz="8" w:space="0" w:color="auto"/>
            </w:tcBorders>
            <w:tcMar>
              <w:top w:w="0" w:type="dxa"/>
              <w:left w:w="108" w:type="dxa"/>
              <w:bottom w:w="0" w:type="dxa"/>
              <w:right w:w="108" w:type="dxa"/>
            </w:tcMar>
            <w:vAlign w:val="center"/>
            <w:hideMark/>
          </w:tcPr>
          <w:p w14:paraId="7E456D86" w14:textId="77777777" w:rsidR="004C4031" w:rsidRPr="003C5B44" w:rsidRDefault="004C4031" w:rsidP="003E0810">
            <w:pPr>
              <w:spacing w:line="252" w:lineRule="auto"/>
              <w:rPr>
                <w:rFonts w:ascii="Calibri" w:hAnsi="Calibri" w:cs="Arial"/>
                <w:sz w:val="18"/>
                <w:szCs w:val="18"/>
                <w:lang w:val="en-GB"/>
              </w:rPr>
            </w:pPr>
            <w:r>
              <w:rPr>
                <w:rFonts w:ascii="Calibri" w:hAnsi="Calibri" w:cs="Arial"/>
                <w:sz w:val="18"/>
                <w:szCs w:val="18"/>
                <w:lang w:val="en-GB"/>
              </w:rPr>
              <w:t>Cadmium</w:t>
            </w:r>
            <w:r w:rsidRPr="003C5B44">
              <w:rPr>
                <w:rFonts w:ascii="Calibri" w:hAnsi="Calibri" w:cs="Arial"/>
                <w:sz w:val="18"/>
                <w:szCs w:val="18"/>
                <w:lang w:val="en-GB"/>
              </w:rPr>
              <w:t xml:space="preserve"> </w:t>
            </w:r>
          </w:p>
        </w:tc>
        <w:tc>
          <w:tcPr>
            <w:tcW w:w="1701" w:type="dxa"/>
            <w:tcBorders>
              <w:top w:val="single" w:sz="12" w:space="0" w:color="auto"/>
              <w:left w:val="nil"/>
              <w:bottom w:val="single" w:sz="8" w:space="0" w:color="auto"/>
              <w:right w:val="single" w:sz="4" w:space="0" w:color="auto"/>
            </w:tcBorders>
            <w:shd w:val="clear" w:color="auto" w:fill="DDD9C3"/>
            <w:vAlign w:val="center"/>
          </w:tcPr>
          <w:p w14:paraId="4887989A" w14:textId="77777777" w:rsidR="004C4031" w:rsidRPr="003C5B44" w:rsidRDefault="004C4031" w:rsidP="003E0810">
            <w:pPr>
              <w:spacing w:line="252" w:lineRule="auto"/>
              <w:jc w:val="center"/>
              <w:rPr>
                <w:rFonts w:ascii="Calibri" w:hAnsi="Calibri" w:cs="Arial"/>
                <w:sz w:val="18"/>
                <w:szCs w:val="18"/>
              </w:rPr>
            </w:pPr>
            <w:r>
              <w:rPr>
                <w:rFonts w:ascii="Calibri" w:hAnsi="Calibri" w:cs="Arial"/>
                <w:sz w:val="18"/>
                <w:szCs w:val="18"/>
              </w:rPr>
              <w:t>Original TSD limits</w:t>
            </w:r>
          </w:p>
        </w:tc>
        <w:tc>
          <w:tcPr>
            <w:tcW w:w="1843" w:type="dxa"/>
            <w:tcBorders>
              <w:top w:val="single" w:sz="12" w:space="0" w:color="auto"/>
              <w:left w:val="single" w:sz="4" w:space="0" w:color="auto"/>
              <w:bottom w:val="single" w:sz="4" w:space="0" w:color="auto"/>
              <w:right w:val="single" w:sz="4" w:space="0" w:color="auto"/>
            </w:tcBorders>
            <w:shd w:val="clear" w:color="auto" w:fill="DDD9C3"/>
            <w:tcMar>
              <w:top w:w="0" w:type="dxa"/>
              <w:left w:w="108" w:type="dxa"/>
              <w:bottom w:w="0" w:type="dxa"/>
              <w:right w:w="108" w:type="dxa"/>
            </w:tcMar>
            <w:vAlign w:val="center"/>
          </w:tcPr>
          <w:p w14:paraId="14F62D94" w14:textId="77777777" w:rsidR="004C4031" w:rsidRPr="003D2E4D" w:rsidRDefault="0002171D" w:rsidP="003E0810">
            <w:pPr>
              <w:spacing w:line="252" w:lineRule="auto"/>
              <w:jc w:val="center"/>
              <w:rPr>
                <w:rFonts w:ascii="Calibri" w:hAnsi="Calibri" w:cs="Arial"/>
                <w:sz w:val="18"/>
                <w:szCs w:val="18"/>
                <w:lang w:val="en-GB"/>
              </w:rPr>
            </w:pPr>
            <w:r>
              <w:rPr>
                <w:rFonts w:ascii="Calibri" w:hAnsi="Calibri" w:cs="Arial"/>
                <w:sz w:val="18"/>
                <w:szCs w:val="18"/>
                <w:lang w:val="en-GB"/>
              </w:rPr>
              <w:t>1.9</w:t>
            </w:r>
          </w:p>
        </w:tc>
        <w:tc>
          <w:tcPr>
            <w:tcW w:w="1984" w:type="dxa"/>
            <w:tcBorders>
              <w:top w:val="single" w:sz="12" w:space="0" w:color="auto"/>
              <w:left w:val="single" w:sz="4" w:space="0" w:color="auto"/>
              <w:bottom w:val="single" w:sz="4" w:space="0" w:color="auto"/>
              <w:right w:val="single" w:sz="4" w:space="0" w:color="auto"/>
            </w:tcBorders>
            <w:shd w:val="clear" w:color="auto" w:fill="DDD9C3"/>
            <w:tcMar>
              <w:top w:w="0" w:type="dxa"/>
              <w:left w:w="108" w:type="dxa"/>
              <w:bottom w:w="0" w:type="dxa"/>
              <w:right w:w="108" w:type="dxa"/>
            </w:tcMar>
            <w:vAlign w:val="center"/>
          </w:tcPr>
          <w:p w14:paraId="433F543E" w14:textId="77777777" w:rsidR="004C4031" w:rsidRPr="003D2E4D" w:rsidRDefault="0002171D" w:rsidP="003E0810">
            <w:pPr>
              <w:spacing w:line="252" w:lineRule="auto"/>
              <w:jc w:val="center"/>
              <w:rPr>
                <w:rFonts w:ascii="Calibri" w:hAnsi="Calibri" w:cs="Arial"/>
                <w:sz w:val="18"/>
                <w:szCs w:val="18"/>
                <w:lang w:val="en-GB"/>
              </w:rPr>
            </w:pPr>
            <w:r>
              <w:rPr>
                <w:rFonts w:ascii="Calibri" w:hAnsi="Calibri" w:cs="Arial"/>
                <w:sz w:val="18"/>
                <w:szCs w:val="18"/>
                <w:lang w:val="en-GB"/>
              </w:rPr>
              <w:t>0.5</w:t>
            </w:r>
          </w:p>
        </w:tc>
        <w:tc>
          <w:tcPr>
            <w:tcW w:w="1701" w:type="dxa"/>
            <w:tcBorders>
              <w:top w:val="single" w:sz="12" w:space="0" w:color="auto"/>
              <w:left w:val="single" w:sz="4" w:space="0" w:color="auto"/>
              <w:bottom w:val="single" w:sz="4" w:space="0" w:color="auto"/>
              <w:right w:val="single" w:sz="4" w:space="0" w:color="auto"/>
            </w:tcBorders>
            <w:shd w:val="clear" w:color="auto" w:fill="DDD9C3"/>
            <w:tcMar>
              <w:top w:w="0" w:type="dxa"/>
              <w:left w:w="108" w:type="dxa"/>
              <w:bottom w:w="0" w:type="dxa"/>
              <w:right w:w="108" w:type="dxa"/>
            </w:tcMar>
            <w:vAlign w:val="center"/>
          </w:tcPr>
          <w:p w14:paraId="6F8FA151" w14:textId="77777777" w:rsidR="004C4031" w:rsidRPr="003D2E4D" w:rsidRDefault="0002171D" w:rsidP="003E0810">
            <w:pPr>
              <w:spacing w:line="252" w:lineRule="auto"/>
              <w:jc w:val="center"/>
              <w:rPr>
                <w:rFonts w:ascii="Calibri" w:hAnsi="Calibri" w:cs="Arial"/>
                <w:sz w:val="18"/>
                <w:szCs w:val="18"/>
                <w:lang w:val="en-GB"/>
              </w:rPr>
            </w:pPr>
            <w:r>
              <w:rPr>
                <w:rFonts w:ascii="Calibri" w:hAnsi="Calibri" w:cs="Arial"/>
                <w:sz w:val="18"/>
                <w:szCs w:val="18"/>
                <w:lang w:val="en-GB"/>
              </w:rPr>
              <w:t>23</w:t>
            </w:r>
          </w:p>
        </w:tc>
        <w:tc>
          <w:tcPr>
            <w:tcW w:w="1985" w:type="dxa"/>
            <w:tcBorders>
              <w:top w:val="single" w:sz="12" w:space="0" w:color="auto"/>
              <w:left w:val="single" w:sz="4" w:space="0" w:color="auto"/>
              <w:bottom w:val="single" w:sz="4" w:space="0" w:color="auto"/>
              <w:right w:val="single" w:sz="4" w:space="0" w:color="auto"/>
            </w:tcBorders>
            <w:shd w:val="clear" w:color="auto" w:fill="DDD9C3"/>
          </w:tcPr>
          <w:p w14:paraId="742C959C" w14:textId="77777777" w:rsidR="004C4031" w:rsidRPr="003D2E4D" w:rsidRDefault="004C4031" w:rsidP="003E0810">
            <w:pPr>
              <w:spacing w:line="252" w:lineRule="auto"/>
              <w:jc w:val="center"/>
              <w:rPr>
                <w:rFonts w:ascii="Calibri" w:hAnsi="Calibri" w:cs="Arial"/>
                <w:sz w:val="18"/>
                <w:szCs w:val="18"/>
                <w:lang w:val="en-GB"/>
              </w:rPr>
            </w:pPr>
          </w:p>
        </w:tc>
      </w:tr>
      <w:tr w:rsidR="004C4031" w14:paraId="4EE15EA1" w14:textId="77777777" w:rsidTr="003E0810">
        <w:trPr>
          <w:trHeight w:val="597"/>
        </w:trPr>
        <w:tc>
          <w:tcPr>
            <w:tcW w:w="1384" w:type="dxa"/>
            <w:vMerge/>
            <w:tcBorders>
              <w:left w:val="single" w:sz="8" w:space="0" w:color="auto"/>
              <w:bottom w:val="single" w:sz="12" w:space="0" w:color="auto"/>
              <w:right w:val="single" w:sz="8" w:space="0" w:color="auto"/>
            </w:tcBorders>
            <w:tcMar>
              <w:top w:w="0" w:type="dxa"/>
              <w:left w:w="108" w:type="dxa"/>
              <w:bottom w:w="0" w:type="dxa"/>
              <w:right w:w="108" w:type="dxa"/>
            </w:tcMar>
            <w:vAlign w:val="center"/>
          </w:tcPr>
          <w:p w14:paraId="2A25BA6F" w14:textId="77777777" w:rsidR="004C4031" w:rsidRPr="003C5B44" w:rsidRDefault="004C4031" w:rsidP="003E0810">
            <w:pPr>
              <w:spacing w:line="252" w:lineRule="auto"/>
              <w:rPr>
                <w:rFonts w:ascii="Calibri" w:hAnsi="Calibri" w:cs="Arial"/>
                <w:sz w:val="18"/>
                <w:szCs w:val="18"/>
                <w:lang w:val="en-GB"/>
              </w:rPr>
            </w:pPr>
          </w:p>
        </w:tc>
        <w:tc>
          <w:tcPr>
            <w:tcW w:w="1701" w:type="dxa"/>
            <w:tcBorders>
              <w:top w:val="single" w:sz="8" w:space="0" w:color="auto"/>
              <w:left w:val="nil"/>
              <w:bottom w:val="single" w:sz="12" w:space="0" w:color="auto"/>
              <w:right w:val="single" w:sz="4" w:space="0" w:color="auto"/>
            </w:tcBorders>
            <w:shd w:val="clear" w:color="auto" w:fill="DDD9C3"/>
            <w:vAlign w:val="center"/>
          </w:tcPr>
          <w:p w14:paraId="046DF8E3" w14:textId="77777777" w:rsidR="004C4031" w:rsidRPr="00744729" w:rsidRDefault="004C4031" w:rsidP="003E0810">
            <w:pPr>
              <w:spacing w:line="252" w:lineRule="auto"/>
              <w:jc w:val="center"/>
              <w:rPr>
                <w:rFonts w:ascii="Calibri" w:hAnsi="Calibri" w:cs="Arial"/>
                <w:b/>
                <w:sz w:val="18"/>
                <w:szCs w:val="18"/>
              </w:rPr>
            </w:pPr>
            <w:r w:rsidRPr="00744729">
              <w:rPr>
                <w:rFonts w:ascii="Calibri" w:hAnsi="Calibri" w:cs="Arial"/>
                <w:b/>
                <w:sz w:val="18"/>
                <w:szCs w:val="18"/>
              </w:rPr>
              <w:t>New limits</w:t>
            </w:r>
          </w:p>
        </w:tc>
        <w:tc>
          <w:tcPr>
            <w:tcW w:w="1843" w:type="dxa"/>
            <w:tcBorders>
              <w:top w:val="single" w:sz="4" w:space="0" w:color="auto"/>
              <w:left w:val="single" w:sz="4" w:space="0" w:color="auto"/>
              <w:bottom w:val="single" w:sz="12" w:space="0" w:color="auto"/>
              <w:right w:val="single" w:sz="4" w:space="0" w:color="auto"/>
            </w:tcBorders>
            <w:shd w:val="clear" w:color="auto" w:fill="DDD9C3"/>
            <w:tcMar>
              <w:top w:w="0" w:type="dxa"/>
              <w:left w:w="108" w:type="dxa"/>
              <w:bottom w:w="0" w:type="dxa"/>
              <w:right w:w="108" w:type="dxa"/>
            </w:tcMar>
            <w:vAlign w:val="center"/>
          </w:tcPr>
          <w:p w14:paraId="09F1D7A9" w14:textId="77777777" w:rsidR="004C4031" w:rsidRPr="004C4031" w:rsidRDefault="009634C2" w:rsidP="003E0810">
            <w:pPr>
              <w:spacing w:line="252" w:lineRule="auto"/>
              <w:jc w:val="center"/>
              <w:rPr>
                <w:rFonts w:ascii="Calibri" w:hAnsi="Calibri" w:cs="Arial"/>
                <w:sz w:val="18"/>
                <w:szCs w:val="18"/>
                <w:highlight w:val="yellow"/>
              </w:rPr>
            </w:pPr>
            <w:r>
              <w:rPr>
                <w:rFonts w:ascii="Calibri" w:hAnsi="Calibri" w:cs="Arial"/>
                <w:sz w:val="18"/>
                <w:szCs w:val="18"/>
              </w:rPr>
              <w:t>1.3</w:t>
            </w:r>
          </w:p>
        </w:tc>
        <w:tc>
          <w:tcPr>
            <w:tcW w:w="1984" w:type="dxa"/>
            <w:tcBorders>
              <w:top w:val="single" w:sz="4" w:space="0" w:color="auto"/>
              <w:left w:val="single" w:sz="4" w:space="0" w:color="auto"/>
              <w:bottom w:val="single" w:sz="12" w:space="0" w:color="auto"/>
              <w:right w:val="single" w:sz="4" w:space="0" w:color="auto"/>
            </w:tcBorders>
            <w:shd w:val="clear" w:color="auto" w:fill="DDD9C3"/>
            <w:tcMar>
              <w:top w:w="0" w:type="dxa"/>
              <w:left w:w="108" w:type="dxa"/>
              <w:bottom w:w="0" w:type="dxa"/>
              <w:right w:w="108" w:type="dxa"/>
            </w:tcMar>
            <w:vAlign w:val="center"/>
          </w:tcPr>
          <w:p w14:paraId="1DEB34E8" w14:textId="77777777" w:rsidR="004C4031" w:rsidRPr="003C5B44" w:rsidRDefault="009634C2" w:rsidP="003E0810">
            <w:pPr>
              <w:spacing w:line="252" w:lineRule="auto"/>
              <w:jc w:val="center"/>
              <w:rPr>
                <w:rFonts w:ascii="Calibri" w:hAnsi="Calibri" w:cs="Arial"/>
                <w:sz w:val="18"/>
                <w:szCs w:val="18"/>
              </w:rPr>
            </w:pPr>
            <w:r>
              <w:rPr>
                <w:rFonts w:ascii="Calibri" w:hAnsi="Calibri" w:cs="Arial"/>
                <w:sz w:val="18"/>
                <w:szCs w:val="18"/>
                <w:lang w:val="en-GB"/>
              </w:rPr>
              <w:t>0.3</w:t>
            </w:r>
          </w:p>
        </w:tc>
        <w:tc>
          <w:tcPr>
            <w:tcW w:w="1701" w:type="dxa"/>
            <w:tcBorders>
              <w:top w:val="single" w:sz="4" w:space="0" w:color="auto"/>
              <w:left w:val="single" w:sz="4" w:space="0" w:color="auto"/>
              <w:bottom w:val="single" w:sz="12" w:space="0" w:color="auto"/>
              <w:right w:val="single" w:sz="4" w:space="0" w:color="auto"/>
            </w:tcBorders>
            <w:shd w:val="clear" w:color="auto" w:fill="DDD9C3"/>
            <w:tcMar>
              <w:top w:w="0" w:type="dxa"/>
              <w:left w:w="108" w:type="dxa"/>
              <w:bottom w:w="0" w:type="dxa"/>
              <w:right w:w="108" w:type="dxa"/>
            </w:tcMar>
            <w:vAlign w:val="center"/>
          </w:tcPr>
          <w:p w14:paraId="635958D5" w14:textId="77777777" w:rsidR="004C4031" w:rsidRPr="003D2E4D" w:rsidRDefault="009634C2" w:rsidP="003E0810">
            <w:pPr>
              <w:spacing w:line="252" w:lineRule="auto"/>
              <w:jc w:val="center"/>
              <w:rPr>
                <w:rFonts w:ascii="Calibri" w:hAnsi="Calibri" w:cs="Arial"/>
                <w:color w:val="FF0000"/>
                <w:sz w:val="18"/>
                <w:szCs w:val="18"/>
              </w:rPr>
            </w:pPr>
            <w:r w:rsidRPr="009634C2">
              <w:rPr>
                <w:rFonts w:ascii="Calibri" w:hAnsi="Calibri" w:cs="Arial"/>
                <w:sz w:val="18"/>
                <w:szCs w:val="18"/>
              </w:rPr>
              <w:t>17</w:t>
            </w:r>
          </w:p>
        </w:tc>
        <w:tc>
          <w:tcPr>
            <w:tcW w:w="1985" w:type="dxa"/>
            <w:tcBorders>
              <w:top w:val="single" w:sz="4" w:space="0" w:color="auto"/>
              <w:left w:val="single" w:sz="4" w:space="0" w:color="auto"/>
              <w:bottom w:val="single" w:sz="12" w:space="0" w:color="auto"/>
              <w:right w:val="single" w:sz="4" w:space="0" w:color="auto"/>
            </w:tcBorders>
            <w:shd w:val="clear" w:color="auto" w:fill="DDD9C3"/>
          </w:tcPr>
          <w:p w14:paraId="75B1D830" w14:textId="77777777" w:rsidR="00190D39" w:rsidRDefault="00D0766B" w:rsidP="003E0810">
            <w:pPr>
              <w:spacing w:after="0" w:line="240" w:lineRule="auto"/>
              <w:jc w:val="center"/>
              <w:rPr>
                <w:rFonts w:ascii="Calibri" w:hAnsi="Calibri" w:cs="Arial"/>
                <w:sz w:val="18"/>
                <w:szCs w:val="18"/>
              </w:rPr>
            </w:pPr>
            <w:hyperlink r:id="rId19" w:history="1">
              <w:r w:rsidR="0002171D" w:rsidRPr="0002171D">
                <w:rPr>
                  <w:rStyle w:val="Lienhypertexte"/>
                  <w:rFonts w:ascii="Calibri" w:hAnsi="Calibri" w:cs="Arial"/>
                  <w:sz w:val="18"/>
                  <w:szCs w:val="18"/>
                </w:rPr>
                <w:t>Commission Directive 2012/7/EU</w:t>
              </w:r>
            </w:hyperlink>
            <w:r w:rsidR="0002171D" w:rsidRPr="0002171D">
              <w:rPr>
                <w:rFonts w:ascii="Calibri" w:hAnsi="Calibri" w:cs="Arial"/>
                <w:sz w:val="18"/>
                <w:szCs w:val="18"/>
              </w:rPr>
              <w:t xml:space="preserve"> </w:t>
            </w:r>
          </w:p>
          <w:p w14:paraId="42BFB075" w14:textId="77777777" w:rsidR="004C4031" w:rsidRPr="00744729" w:rsidRDefault="0002171D" w:rsidP="003E0810">
            <w:pPr>
              <w:spacing w:after="0" w:line="240" w:lineRule="auto"/>
              <w:jc w:val="center"/>
              <w:rPr>
                <w:rFonts w:ascii="Calibri" w:hAnsi="Calibri" w:cs="Arial"/>
                <w:b/>
                <w:color w:val="FF0000"/>
                <w:sz w:val="18"/>
                <w:szCs w:val="18"/>
              </w:rPr>
            </w:pPr>
            <w:r w:rsidRPr="00744729">
              <w:rPr>
                <w:rFonts w:ascii="Calibri" w:hAnsi="Calibri" w:cs="Arial"/>
                <w:b/>
                <w:sz w:val="18"/>
                <w:szCs w:val="18"/>
              </w:rPr>
              <w:t xml:space="preserve">Applies </w:t>
            </w:r>
            <w:r w:rsidR="00190D39" w:rsidRPr="00744729">
              <w:rPr>
                <w:rFonts w:ascii="Calibri" w:hAnsi="Calibri" w:cs="Arial"/>
                <w:b/>
                <w:sz w:val="18"/>
                <w:szCs w:val="18"/>
              </w:rPr>
              <w:t>since</w:t>
            </w:r>
            <w:r w:rsidRPr="00744729">
              <w:rPr>
                <w:rFonts w:ascii="Calibri" w:hAnsi="Calibri" w:cs="Arial"/>
                <w:b/>
                <w:sz w:val="18"/>
                <w:szCs w:val="18"/>
              </w:rPr>
              <w:t xml:space="preserve"> July 2013</w:t>
            </w:r>
          </w:p>
        </w:tc>
      </w:tr>
      <w:tr w:rsidR="00786008" w14:paraId="34DFDE04" w14:textId="77777777" w:rsidTr="003E0810">
        <w:trPr>
          <w:trHeight w:val="288"/>
        </w:trPr>
        <w:tc>
          <w:tcPr>
            <w:tcW w:w="1384" w:type="dxa"/>
            <w:vMerge w:val="restart"/>
            <w:tcBorders>
              <w:top w:val="single" w:sz="12" w:space="0" w:color="auto"/>
              <w:left w:val="single" w:sz="8" w:space="0" w:color="auto"/>
              <w:right w:val="single" w:sz="8" w:space="0" w:color="auto"/>
            </w:tcBorders>
            <w:tcMar>
              <w:top w:w="0" w:type="dxa"/>
              <w:left w:w="108" w:type="dxa"/>
              <w:bottom w:w="0" w:type="dxa"/>
              <w:right w:w="108" w:type="dxa"/>
            </w:tcMar>
            <w:vAlign w:val="center"/>
            <w:hideMark/>
          </w:tcPr>
          <w:p w14:paraId="36F8366F" w14:textId="36459004" w:rsidR="00786008" w:rsidRPr="003C5B44" w:rsidRDefault="00786008" w:rsidP="003E0810">
            <w:pPr>
              <w:spacing w:line="252" w:lineRule="auto"/>
              <w:rPr>
                <w:rFonts w:ascii="Calibri" w:hAnsi="Calibri" w:cs="Arial"/>
                <w:sz w:val="18"/>
                <w:szCs w:val="18"/>
                <w:lang w:val="en-GB"/>
              </w:rPr>
            </w:pPr>
            <w:r w:rsidRPr="003C5B44">
              <w:rPr>
                <w:rFonts w:ascii="Calibri" w:hAnsi="Calibri" w:cs="Arial"/>
                <w:sz w:val="18"/>
                <w:szCs w:val="18"/>
              </w:rPr>
              <w:t xml:space="preserve">Lead </w:t>
            </w:r>
          </w:p>
        </w:tc>
        <w:tc>
          <w:tcPr>
            <w:tcW w:w="1701" w:type="dxa"/>
            <w:tcBorders>
              <w:top w:val="single" w:sz="12" w:space="0" w:color="auto"/>
              <w:left w:val="nil"/>
              <w:bottom w:val="single" w:sz="8" w:space="0" w:color="auto"/>
              <w:right w:val="single" w:sz="4" w:space="0" w:color="auto"/>
            </w:tcBorders>
            <w:shd w:val="clear" w:color="auto" w:fill="DDD9C3"/>
            <w:vAlign w:val="center"/>
          </w:tcPr>
          <w:p w14:paraId="6B4D0209" w14:textId="0B0B59DC" w:rsidR="00786008" w:rsidRPr="003C5B44" w:rsidRDefault="000673AE" w:rsidP="003E0810">
            <w:pPr>
              <w:spacing w:line="252" w:lineRule="auto"/>
              <w:jc w:val="center"/>
              <w:rPr>
                <w:rFonts w:ascii="Calibri" w:hAnsi="Calibri" w:cs="Arial"/>
                <w:sz w:val="18"/>
                <w:szCs w:val="18"/>
              </w:rPr>
            </w:pPr>
            <w:r>
              <w:rPr>
                <w:rFonts w:ascii="Calibri" w:hAnsi="Calibri" w:cs="Arial"/>
                <w:sz w:val="18"/>
                <w:szCs w:val="18"/>
              </w:rPr>
              <w:t>Orignal</w:t>
            </w:r>
            <w:r w:rsidR="00786008">
              <w:rPr>
                <w:rFonts w:ascii="Calibri" w:hAnsi="Calibri" w:cs="Arial"/>
                <w:sz w:val="18"/>
                <w:szCs w:val="18"/>
              </w:rPr>
              <w:t xml:space="preserve"> TSD limits</w:t>
            </w:r>
          </w:p>
        </w:tc>
        <w:tc>
          <w:tcPr>
            <w:tcW w:w="1843" w:type="dxa"/>
            <w:tcBorders>
              <w:top w:val="single" w:sz="12" w:space="0" w:color="auto"/>
              <w:left w:val="single" w:sz="4" w:space="0" w:color="auto"/>
              <w:bottom w:val="single" w:sz="4" w:space="0" w:color="auto"/>
              <w:right w:val="single" w:sz="4" w:space="0" w:color="auto"/>
            </w:tcBorders>
            <w:shd w:val="clear" w:color="auto" w:fill="DDD9C3"/>
            <w:tcMar>
              <w:top w:w="0" w:type="dxa"/>
              <w:left w:w="108" w:type="dxa"/>
              <w:bottom w:w="0" w:type="dxa"/>
              <w:right w:w="108" w:type="dxa"/>
            </w:tcMar>
            <w:vAlign w:val="bottom"/>
          </w:tcPr>
          <w:p w14:paraId="0453F894" w14:textId="77777777" w:rsidR="00786008" w:rsidRPr="003C5B44" w:rsidRDefault="00786008" w:rsidP="003E0810">
            <w:pPr>
              <w:spacing w:line="252" w:lineRule="auto"/>
              <w:jc w:val="center"/>
              <w:rPr>
                <w:rFonts w:ascii="Calibri" w:hAnsi="Calibri" w:cs="Arial"/>
                <w:sz w:val="18"/>
                <w:szCs w:val="18"/>
                <w:lang w:val="en-GB"/>
              </w:rPr>
            </w:pPr>
            <w:r>
              <w:rPr>
                <w:rFonts w:ascii="Calibri" w:hAnsi="Calibri" w:cs="Arial"/>
                <w:sz w:val="18"/>
                <w:szCs w:val="18"/>
                <w:lang w:val="en-GB"/>
              </w:rPr>
              <w:t>13.5</w:t>
            </w:r>
          </w:p>
        </w:tc>
        <w:tc>
          <w:tcPr>
            <w:tcW w:w="1984" w:type="dxa"/>
            <w:tcBorders>
              <w:top w:val="single" w:sz="12" w:space="0" w:color="auto"/>
              <w:left w:val="single" w:sz="4" w:space="0" w:color="auto"/>
              <w:bottom w:val="single" w:sz="4" w:space="0" w:color="auto"/>
              <w:right w:val="single" w:sz="4" w:space="0" w:color="auto"/>
            </w:tcBorders>
            <w:shd w:val="clear" w:color="auto" w:fill="DDD9C3"/>
            <w:tcMar>
              <w:top w:w="0" w:type="dxa"/>
              <w:left w:w="108" w:type="dxa"/>
              <w:bottom w:w="0" w:type="dxa"/>
              <w:right w:w="108" w:type="dxa"/>
            </w:tcMar>
            <w:vAlign w:val="bottom"/>
          </w:tcPr>
          <w:p w14:paraId="2473E90F" w14:textId="77777777" w:rsidR="00786008" w:rsidRPr="003C5B44" w:rsidRDefault="00786008" w:rsidP="003E0810">
            <w:pPr>
              <w:spacing w:line="252" w:lineRule="auto"/>
              <w:jc w:val="center"/>
              <w:rPr>
                <w:rFonts w:ascii="Calibri" w:hAnsi="Calibri" w:cs="Arial"/>
                <w:sz w:val="18"/>
                <w:szCs w:val="18"/>
                <w:lang w:val="en-GB"/>
              </w:rPr>
            </w:pPr>
            <w:r>
              <w:rPr>
                <w:rFonts w:ascii="Calibri" w:hAnsi="Calibri" w:cs="Arial"/>
                <w:sz w:val="18"/>
                <w:szCs w:val="18"/>
                <w:lang w:val="en-GB"/>
              </w:rPr>
              <w:t>3.4</w:t>
            </w:r>
          </w:p>
        </w:tc>
        <w:tc>
          <w:tcPr>
            <w:tcW w:w="1701" w:type="dxa"/>
            <w:tcBorders>
              <w:top w:val="single" w:sz="12" w:space="0" w:color="auto"/>
              <w:left w:val="single" w:sz="4" w:space="0" w:color="auto"/>
              <w:bottom w:val="single" w:sz="4" w:space="0" w:color="auto"/>
              <w:right w:val="single" w:sz="4" w:space="0" w:color="auto"/>
            </w:tcBorders>
            <w:shd w:val="clear" w:color="auto" w:fill="DDD9C3"/>
            <w:tcMar>
              <w:top w:w="0" w:type="dxa"/>
              <w:left w:w="108" w:type="dxa"/>
              <w:bottom w:w="0" w:type="dxa"/>
              <w:right w:w="108" w:type="dxa"/>
            </w:tcMar>
            <w:vAlign w:val="center"/>
          </w:tcPr>
          <w:p w14:paraId="0DC0AD22" w14:textId="77777777" w:rsidR="00786008" w:rsidRPr="003D2E4D" w:rsidRDefault="00786008" w:rsidP="003E0810">
            <w:pPr>
              <w:spacing w:line="252" w:lineRule="auto"/>
              <w:jc w:val="center"/>
              <w:rPr>
                <w:rFonts w:ascii="Calibri" w:hAnsi="Calibri" w:cs="Arial"/>
                <w:sz w:val="18"/>
                <w:szCs w:val="18"/>
                <w:lang w:val="en-GB"/>
              </w:rPr>
            </w:pPr>
            <w:r w:rsidRPr="003D2E4D">
              <w:rPr>
                <w:rFonts w:ascii="Calibri" w:hAnsi="Calibri" w:cs="Arial"/>
                <w:sz w:val="18"/>
                <w:szCs w:val="18"/>
                <w:lang w:val="en-GB"/>
              </w:rPr>
              <w:t>160</w:t>
            </w:r>
          </w:p>
        </w:tc>
        <w:tc>
          <w:tcPr>
            <w:tcW w:w="1985" w:type="dxa"/>
            <w:tcBorders>
              <w:top w:val="single" w:sz="12" w:space="0" w:color="auto"/>
              <w:left w:val="single" w:sz="4" w:space="0" w:color="auto"/>
              <w:bottom w:val="single" w:sz="4" w:space="0" w:color="auto"/>
              <w:right w:val="single" w:sz="4" w:space="0" w:color="auto"/>
            </w:tcBorders>
            <w:shd w:val="clear" w:color="auto" w:fill="DDD9C3"/>
          </w:tcPr>
          <w:p w14:paraId="33BEAC2C" w14:textId="77777777" w:rsidR="00786008" w:rsidRPr="003D2E4D" w:rsidRDefault="00786008" w:rsidP="003E0810">
            <w:pPr>
              <w:spacing w:line="252" w:lineRule="auto"/>
              <w:jc w:val="center"/>
              <w:rPr>
                <w:rFonts w:ascii="Calibri" w:hAnsi="Calibri" w:cs="Arial"/>
                <w:sz w:val="18"/>
                <w:szCs w:val="18"/>
                <w:lang w:val="en-GB"/>
              </w:rPr>
            </w:pPr>
          </w:p>
        </w:tc>
      </w:tr>
      <w:tr w:rsidR="00786008" w:rsidRPr="0084358D" w14:paraId="1D838E14" w14:textId="77777777" w:rsidTr="003E0810">
        <w:trPr>
          <w:trHeight w:val="288"/>
        </w:trPr>
        <w:tc>
          <w:tcPr>
            <w:tcW w:w="1384" w:type="dxa"/>
            <w:vMerge/>
            <w:tcBorders>
              <w:left w:val="single" w:sz="8" w:space="0" w:color="auto"/>
              <w:bottom w:val="single" w:sz="12" w:space="0" w:color="auto"/>
              <w:right w:val="single" w:sz="8" w:space="0" w:color="auto"/>
            </w:tcBorders>
            <w:tcMar>
              <w:top w:w="0" w:type="dxa"/>
              <w:left w:w="108" w:type="dxa"/>
              <w:bottom w:w="0" w:type="dxa"/>
              <w:right w:w="108" w:type="dxa"/>
            </w:tcMar>
            <w:vAlign w:val="center"/>
          </w:tcPr>
          <w:p w14:paraId="706E236A" w14:textId="77777777" w:rsidR="00786008" w:rsidRPr="003C5B44" w:rsidRDefault="00786008" w:rsidP="003E0810">
            <w:pPr>
              <w:spacing w:line="252" w:lineRule="auto"/>
              <w:rPr>
                <w:rFonts w:ascii="Calibri" w:hAnsi="Calibri" w:cs="Arial"/>
                <w:sz w:val="18"/>
                <w:szCs w:val="18"/>
              </w:rPr>
            </w:pPr>
          </w:p>
        </w:tc>
        <w:tc>
          <w:tcPr>
            <w:tcW w:w="1701" w:type="dxa"/>
            <w:tcBorders>
              <w:top w:val="single" w:sz="4" w:space="0" w:color="auto"/>
              <w:left w:val="nil"/>
              <w:bottom w:val="single" w:sz="12" w:space="0" w:color="auto"/>
              <w:right w:val="single" w:sz="4" w:space="0" w:color="auto"/>
            </w:tcBorders>
            <w:shd w:val="clear" w:color="auto" w:fill="DDD9C3"/>
            <w:vAlign w:val="center"/>
          </w:tcPr>
          <w:p w14:paraId="4C517A8A" w14:textId="77777777" w:rsidR="00786008" w:rsidRPr="00744729" w:rsidRDefault="00786008" w:rsidP="00830093">
            <w:pPr>
              <w:spacing w:line="252" w:lineRule="auto"/>
              <w:jc w:val="center"/>
              <w:rPr>
                <w:rFonts w:ascii="Calibri" w:hAnsi="Calibri" w:cs="Arial"/>
                <w:b/>
                <w:sz w:val="18"/>
                <w:szCs w:val="18"/>
              </w:rPr>
            </w:pPr>
            <w:r w:rsidRPr="00744729">
              <w:rPr>
                <w:rFonts w:ascii="Calibri" w:hAnsi="Calibri" w:cs="Arial"/>
                <w:b/>
                <w:sz w:val="18"/>
                <w:szCs w:val="18"/>
              </w:rPr>
              <w:t>New limits</w:t>
            </w:r>
          </w:p>
        </w:tc>
        <w:tc>
          <w:tcPr>
            <w:tcW w:w="1843" w:type="dxa"/>
            <w:tcBorders>
              <w:top w:val="single" w:sz="4" w:space="0" w:color="auto"/>
              <w:left w:val="single" w:sz="4" w:space="0" w:color="auto"/>
              <w:bottom w:val="single" w:sz="12" w:space="0" w:color="auto"/>
              <w:right w:val="single" w:sz="4" w:space="0" w:color="auto"/>
            </w:tcBorders>
            <w:shd w:val="clear" w:color="auto" w:fill="DDD9C3"/>
            <w:tcMar>
              <w:top w:w="0" w:type="dxa"/>
              <w:left w:w="108" w:type="dxa"/>
              <w:bottom w:w="0" w:type="dxa"/>
              <w:right w:w="108" w:type="dxa"/>
            </w:tcMar>
            <w:vAlign w:val="center"/>
          </w:tcPr>
          <w:p w14:paraId="6CD6E2A9" w14:textId="77777777" w:rsidR="00786008" w:rsidRPr="003C5B44" w:rsidRDefault="00786008" w:rsidP="003E0810">
            <w:pPr>
              <w:spacing w:line="252" w:lineRule="auto"/>
              <w:jc w:val="center"/>
              <w:rPr>
                <w:rFonts w:ascii="Calibri" w:hAnsi="Calibri" w:cs="Arial"/>
                <w:sz w:val="18"/>
                <w:szCs w:val="18"/>
              </w:rPr>
            </w:pPr>
            <w:r>
              <w:rPr>
                <w:rFonts w:ascii="Calibri" w:hAnsi="Calibri" w:cs="Arial"/>
                <w:sz w:val="18"/>
                <w:szCs w:val="18"/>
              </w:rPr>
              <w:t>2</w:t>
            </w:r>
          </w:p>
        </w:tc>
        <w:tc>
          <w:tcPr>
            <w:tcW w:w="1984" w:type="dxa"/>
            <w:tcBorders>
              <w:top w:val="single" w:sz="4" w:space="0" w:color="auto"/>
              <w:left w:val="single" w:sz="4" w:space="0" w:color="auto"/>
              <w:bottom w:val="single" w:sz="12" w:space="0" w:color="auto"/>
              <w:right w:val="single" w:sz="4" w:space="0" w:color="auto"/>
            </w:tcBorders>
            <w:shd w:val="clear" w:color="auto" w:fill="DDD9C3"/>
            <w:tcMar>
              <w:top w:w="0" w:type="dxa"/>
              <w:left w:w="108" w:type="dxa"/>
              <w:bottom w:w="0" w:type="dxa"/>
              <w:right w:w="108" w:type="dxa"/>
            </w:tcMar>
            <w:vAlign w:val="bottom"/>
          </w:tcPr>
          <w:p w14:paraId="0AC26821" w14:textId="77777777" w:rsidR="00786008" w:rsidRPr="003C5B44" w:rsidRDefault="00786008" w:rsidP="00F20505">
            <w:pPr>
              <w:spacing w:line="360" w:lineRule="auto"/>
              <w:jc w:val="center"/>
              <w:rPr>
                <w:rFonts w:ascii="Calibri" w:hAnsi="Calibri" w:cs="Arial"/>
                <w:sz w:val="18"/>
                <w:szCs w:val="18"/>
              </w:rPr>
            </w:pPr>
            <w:r>
              <w:rPr>
                <w:rFonts w:ascii="Calibri" w:hAnsi="Calibri" w:cs="Arial"/>
                <w:sz w:val="18"/>
                <w:szCs w:val="18"/>
                <w:lang w:val="en-GB"/>
              </w:rPr>
              <w:t>0.5</w:t>
            </w:r>
          </w:p>
        </w:tc>
        <w:tc>
          <w:tcPr>
            <w:tcW w:w="1701" w:type="dxa"/>
            <w:tcBorders>
              <w:top w:val="single" w:sz="4" w:space="0" w:color="auto"/>
              <w:left w:val="single" w:sz="4" w:space="0" w:color="auto"/>
              <w:bottom w:val="single" w:sz="12" w:space="0" w:color="auto"/>
              <w:right w:val="single" w:sz="4" w:space="0" w:color="auto"/>
            </w:tcBorders>
            <w:shd w:val="clear" w:color="auto" w:fill="DDD9C3"/>
            <w:tcMar>
              <w:top w:w="0" w:type="dxa"/>
              <w:left w:w="108" w:type="dxa"/>
              <w:bottom w:w="0" w:type="dxa"/>
              <w:right w:w="108" w:type="dxa"/>
            </w:tcMar>
            <w:vAlign w:val="center"/>
          </w:tcPr>
          <w:p w14:paraId="5F2181D8" w14:textId="77777777" w:rsidR="00786008" w:rsidRPr="003D2E4D" w:rsidRDefault="00786008" w:rsidP="003E0810">
            <w:pPr>
              <w:spacing w:line="252" w:lineRule="auto"/>
              <w:jc w:val="center"/>
              <w:rPr>
                <w:rFonts w:ascii="Calibri" w:hAnsi="Calibri" w:cs="Arial"/>
                <w:color w:val="FF0000"/>
                <w:sz w:val="18"/>
                <w:szCs w:val="18"/>
              </w:rPr>
            </w:pPr>
            <w:r w:rsidRPr="009634C2">
              <w:rPr>
                <w:rFonts w:ascii="Calibri" w:hAnsi="Calibri" w:cs="Arial"/>
                <w:sz w:val="18"/>
                <w:szCs w:val="18"/>
              </w:rPr>
              <w:t>23</w:t>
            </w:r>
          </w:p>
        </w:tc>
        <w:tc>
          <w:tcPr>
            <w:tcW w:w="1985" w:type="dxa"/>
            <w:tcBorders>
              <w:top w:val="single" w:sz="4" w:space="0" w:color="auto"/>
              <w:left w:val="single" w:sz="4" w:space="0" w:color="auto"/>
              <w:bottom w:val="single" w:sz="12" w:space="0" w:color="auto"/>
              <w:right w:val="single" w:sz="4" w:space="0" w:color="auto"/>
            </w:tcBorders>
            <w:shd w:val="clear" w:color="auto" w:fill="DDD9C3"/>
          </w:tcPr>
          <w:p w14:paraId="237F1CBA" w14:textId="77777777" w:rsidR="00190D39" w:rsidRDefault="00786008" w:rsidP="003E0810">
            <w:pPr>
              <w:spacing w:after="0" w:line="240" w:lineRule="auto"/>
              <w:jc w:val="center"/>
              <w:rPr>
                <w:rFonts w:ascii="Calibri" w:hAnsi="Calibri" w:cs="Arial"/>
                <w:color w:val="FF0000"/>
                <w:sz w:val="18"/>
                <w:szCs w:val="18"/>
                <w:lang w:val="en-GB"/>
              </w:rPr>
            </w:pPr>
            <w:r w:rsidRPr="00AF0EB3">
              <w:rPr>
                <w:rFonts w:ascii="Calibri" w:hAnsi="Calibri" w:cs="Arial"/>
                <w:sz w:val="18"/>
                <w:szCs w:val="18"/>
                <w:lang w:val="en-GB"/>
              </w:rPr>
              <w:t xml:space="preserve"> </w:t>
            </w:r>
            <w:hyperlink r:id="rId20" w:history="1">
              <w:r w:rsidRPr="00AF0EB3">
                <w:rPr>
                  <w:rStyle w:val="Lienhypertexte"/>
                  <w:rFonts w:ascii="Calibri" w:hAnsi="Calibri" w:cs="Arial"/>
                  <w:sz w:val="18"/>
                  <w:szCs w:val="18"/>
                  <w:lang w:val="en-GB"/>
                </w:rPr>
                <w:t>Council Directive</w:t>
              </w:r>
              <w:r w:rsidR="00917FF7" w:rsidRPr="00AF0EB3">
                <w:rPr>
                  <w:rStyle w:val="Lienhypertexte"/>
                  <w:rFonts w:ascii="Calibri" w:hAnsi="Calibri" w:cs="Arial"/>
                  <w:sz w:val="18"/>
                  <w:szCs w:val="18"/>
                  <w:lang w:val="en-GB"/>
                </w:rPr>
                <w:t xml:space="preserve"> 2017/738/EU</w:t>
              </w:r>
            </w:hyperlink>
          </w:p>
          <w:p w14:paraId="5E7DDC91" w14:textId="5E6947E9" w:rsidR="00786008" w:rsidRPr="00744729" w:rsidRDefault="000673AE" w:rsidP="00830093">
            <w:pPr>
              <w:spacing w:after="0" w:line="240" w:lineRule="auto"/>
              <w:jc w:val="center"/>
              <w:rPr>
                <w:rFonts w:ascii="Calibri" w:hAnsi="Calibri" w:cs="Arial"/>
                <w:b/>
                <w:color w:val="FF0000"/>
                <w:sz w:val="18"/>
                <w:szCs w:val="18"/>
                <w:lang w:val="en-GB"/>
              </w:rPr>
            </w:pPr>
            <w:r w:rsidRPr="000673AE">
              <w:rPr>
                <w:rFonts w:ascii="Calibri" w:hAnsi="Calibri" w:cs="Arial"/>
                <w:b/>
                <w:sz w:val="18"/>
                <w:szCs w:val="18"/>
                <w:lang w:val="en-GB"/>
              </w:rPr>
              <w:t>Applies since</w:t>
            </w:r>
            <w:r w:rsidR="00830093" w:rsidRPr="000673AE">
              <w:rPr>
                <w:rFonts w:ascii="Calibri" w:hAnsi="Calibri" w:cs="Arial"/>
                <w:b/>
                <w:sz w:val="18"/>
                <w:szCs w:val="18"/>
                <w:lang w:val="en-GB"/>
              </w:rPr>
              <w:t xml:space="preserve"> 28</w:t>
            </w:r>
            <w:r w:rsidR="00786008" w:rsidRPr="000673AE">
              <w:rPr>
                <w:rFonts w:ascii="Calibri" w:hAnsi="Calibri" w:cs="Arial"/>
                <w:b/>
                <w:sz w:val="18"/>
                <w:szCs w:val="18"/>
                <w:lang w:val="en-GB"/>
              </w:rPr>
              <w:t xml:space="preserve"> </w:t>
            </w:r>
            <w:r w:rsidR="00830093" w:rsidRPr="000673AE">
              <w:rPr>
                <w:rFonts w:ascii="Calibri" w:hAnsi="Calibri" w:cs="Arial"/>
                <w:b/>
                <w:sz w:val="18"/>
                <w:szCs w:val="18"/>
                <w:lang w:val="en-GB"/>
              </w:rPr>
              <w:t>Oct</w:t>
            </w:r>
            <w:r w:rsidR="00786008" w:rsidRPr="000673AE">
              <w:rPr>
                <w:rFonts w:ascii="Calibri" w:hAnsi="Calibri" w:cs="Arial"/>
                <w:b/>
                <w:sz w:val="18"/>
                <w:szCs w:val="18"/>
                <w:lang w:val="en-GB"/>
              </w:rPr>
              <w:t xml:space="preserve"> 2018</w:t>
            </w:r>
          </w:p>
        </w:tc>
      </w:tr>
      <w:tr w:rsidR="004C4031" w14:paraId="5277B751" w14:textId="77777777" w:rsidTr="003E0810">
        <w:trPr>
          <w:trHeight w:val="288"/>
        </w:trPr>
        <w:tc>
          <w:tcPr>
            <w:tcW w:w="1384" w:type="dxa"/>
            <w:vMerge w:val="restart"/>
            <w:tcBorders>
              <w:top w:val="single" w:sz="12" w:space="0" w:color="auto"/>
              <w:left w:val="single" w:sz="8" w:space="0" w:color="auto"/>
              <w:right w:val="single" w:sz="8" w:space="0" w:color="auto"/>
            </w:tcBorders>
            <w:tcMar>
              <w:top w:w="0" w:type="dxa"/>
              <w:left w:w="108" w:type="dxa"/>
              <w:bottom w:w="0" w:type="dxa"/>
              <w:right w:w="108" w:type="dxa"/>
            </w:tcMar>
            <w:vAlign w:val="center"/>
            <w:hideMark/>
          </w:tcPr>
          <w:p w14:paraId="5AEE6237" w14:textId="77777777" w:rsidR="004C4031" w:rsidRPr="003C5B44" w:rsidRDefault="004C4031" w:rsidP="003E0810">
            <w:pPr>
              <w:spacing w:line="252" w:lineRule="auto"/>
              <w:rPr>
                <w:rFonts w:ascii="Calibri" w:hAnsi="Calibri" w:cs="Arial"/>
                <w:sz w:val="18"/>
                <w:szCs w:val="18"/>
                <w:lang w:val="en-GB"/>
              </w:rPr>
            </w:pPr>
            <w:r>
              <w:rPr>
                <w:rFonts w:ascii="Calibri" w:hAnsi="Calibri" w:cs="Arial"/>
                <w:sz w:val="18"/>
                <w:szCs w:val="18"/>
              </w:rPr>
              <w:t>Chromium VI</w:t>
            </w:r>
          </w:p>
        </w:tc>
        <w:tc>
          <w:tcPr>
            <w:tcW w:w="1701" w:type="dxa"/>
            <w:tcBorders>
              <w:top w:val="single" w:sz="12" w:space="0" w:color="auto"/>
              <w:left w:val="nil"/>
              <w:bottom w:val="single" w:sz="8" w:space="0" w:color="auto"/>
              <w:right w:val="single" w:sz="4" w:space="0" w:color="auto"/>
            </w:tcBorders>
            <w:shd w:val="clear" w:color="auto" w:fill="DDD9C3"/>
            <w:vAlign w:val="center"/>
          </w:tcPr>
          <w:p w14:paraId="063AC6BA" w14:textId="09F862C5" w:rsidR="004C4031" w:rsidRPr="003C5B44" w:rsidRDefault="000673AE" w:rsidP="003E0810">
            <w:pPr>
              <w:spacing w:line="252" w:lineRule="auto"/>
              <w:jc w:val="center"/>
              <w:rPr>
                <w:rFonts w:ascii="Calibri" w:hAnsi="Calibri" w:cs="Arial"/>
                <w:sz w:val="18"/>
                <w:szCs w:val="18"/>
              </w:rPr>
            </w:pPr>
            <w:r>
              <w:rPr>
                <w:rFonts w:ascii="Calibri" w:hAnsi="Calibri" w:cs="Arial"/>
                <w:sz w:val="18"/>
                <w:szCs w:val="18"/>
              </w:rPr>
              <w:t>Original</w:t>
            </w:r>
            <w:r w:rsidR="004C4031">
              <w:rPr>
                <w:rFonts w:ascii="Calibri" w:hAnsi="Calibri" w:cs="Arial"/>
                <w:sz w:val="18"/>
                <w:szCs w:val="18"/>
              </w:rPr>
              <w:t xml:space="preserve"> TSD limit</w:t>
            </w:r>
            <w:r w:rsidR="0021009B">
              <w:rPr>
                <w:rFonts w:ascii="Calibri" w:hAnsi="Calibri" w:cs="Arial"/>
                <w:sz w:val="18"/>
                <w:szCs w:val="18"/>
              </w:rPr>
              <w:t>s</w:t>
            </w:r>
          </w:p>
        </w:tc>
        <w:tc>
          <w:tcPr>
            <w:tcW w:w="1843" w:type="dxa"/>
            <w:tcBorders>
              <w:top w:val="single" w:sz="12" w:space="0" w:color="auto"/>
              <w:left w:val="single" w:sz="4" w:space="0" w:color="auto"/>
              <w:bottom w:val="single" w:sz="4" w:space="0" w:color="auto"/>
              <w:right w:val="single" w:sz="4" w:space="0" w:color="auto"/>
            </w:tcBorders>
            <w:shd w:val="clear" w:color="auto" w:fill="DDD9C3"/>
            <w:tcMar>
              <w:top w:w="0" w:type="dxa"/>
              <w:left w:w="108" w:type="dxa"/>
              <w:bottom w:w="0" w:type="dxa"/>
              <w:right w:w="108" w:type="dxa"/>
            </w:tcMar>
            <w:vAlign w:val="center"/>
          </w:tcPr>
          <w:p w14:paraId="17E692E2" w14:textId="77777777" w:rsidR="004C4031" w:rsidRPr="003C5B44" w:rsidRDefault="009634C2" w:rsidP="003E0810">
            <w:pPr>
              <w:spacing w:line="252" w:lineRule="auto"/>
              <w:jc w:val="center"/>
              <w:rPr>
                <w:rFonts w:ascii="Calibri" w:hAnsi="Calibri" w:cs="Arial"/>
                <w:sz w:val="18"/>
                <w:szCs w:val="18"/>
                <w:lang w:val="en-GB"/>
              </w:rPr>
            </w:pPr>
            <w:r>
              <w:rPr>
                <w:rFonts w:ascii="Calibri" w:hAnsi="Calibri" w:cs="Arial"/>
                <w:sz w:val="18"/>
                <w:szCs w:val="18"/>
                <w:lang w:val="en-GB"/>
              </w:rPr>
              <w:t>0.02</w:t>
            </w:r>
          </w:p>
        </w:tc>
        <w:tc>
          <w:tcPr>
            <w:tcW w:w="1984" w:type="dxa"/>
            <w:tcBorders>
              <w:top w:val="single" w:sz="12" w:space="0" w:color="auto"/>
              <w:left w:val="single" w:sz="4" w:space="0" w:color="auto"/>
              <w:bottom w:val="single" w:sz="4" w:space="0" w:color="auto"/>
              <w:right w:val="single" w:sz="4" w:space="0" w:color="auto"/>
            </w:tcBorders>
            <w:shd w:val="clear" w:color="auto" w:fill="DDD9C3"/>
            <w:tcMar>
              <w:top w:w="0" w:type="dxa"/>
              <w:left w:w="108" w:type="dxa"/>
              <w:bottom w:w="0" w:type="dxa"/>
              <w:right w:w="108" w:type="dxa"/>
            </w:tcMar>
            <w:vAlign w:val="center"/>
          </w:tcPr>
          <w:p w14:paraId="039D9C41" w14:textId="77777777" w:rsidR="004C4031" w:rsidRPr="003C5B44" w:rsidRDefault="009634C2" w:rsidP="003E0810">
            <w:pPr>
              <w:spacing w:line="252" w:lineRule="auto"/>
              <w:jc w:val="center"/>
              <w:rPr>
                <w:rFonts w:ascii="Calibri" w:hAnsi="Calibri" w:cs="Arial"/>
                <w:sz w:val="18"/>
                <w:szCs w:val="18"/>
                <w:lang w:val="en-GB"/>
              </w:rPr>
            </w:pPr>
            <w:r>
              <w:rPr>
                <w:rFonts w:ascii="Calibri" w:hAnsi="Calibri" w:cs="Arial"/>
                <w:sz w:val="18"/>
                <w:szCs w:val="18"/>
                <w:lang w:val="en-GB"/>
              </w:rPr>
              <w:t>0.005</w:t>
            </w:r>
          </w:p>
        </w:tc>
        <w:tc>
          <w:tcPr>
            <w:tcW w:w="1701" w:type="dxa"/>
            <w:tcBorders>
              <w:top w:val="single" w:sz="12" w:space="0" w:color="auto"/>
              <w:left w:val="single" w:sz="4" w:space="0" w:color="auto"/>
              <w:bottom w:val="single" w:sz="4" w:space="0" w:color="auto"/>
              <w:right w:val="single" w:sz="4" w:space="0" w:color="auto"/>
            </w:tcBorders>
            <w:shd w:val="clear" w:color="auto" w:fill="DDD9C3"/>
            <w:tcMar>
              <w:top w:w="0" w:type="dxa"/>
              <w:left w:w="108" w:type="dxa"/>
              <w:bottom w:w="0" w:type="dxa"/>
              <w:right w:w="108" w:type="dxa"/>
            </w:tcMar>
            <w:vAlign w:val="center"/>
          </w:tcPr>
          <w:p w14:paraId="50802D46" w14:textId="77777777" w:rsidR="004C4031" w:rsidRPr="003D2E4D" w:rsidRDefault="009634C2" w:rsidP="003E0810">
            <w:pPr>
              <w:spacing w:line="252" w:lineRule="auto"/>
              <w:jc w:val="center"/>
              <w:rPr>
                <w:rFonts w:ascii="Calibri" w:hAnsi="Calibri" w:cs="Arial"/>
                <w:sz w:val="18"/>
                <w:szCs w:val="18"/>
                <w:lang w:val="en-GB"/>
              </w:rPr>
            </w:pPr>
            <w:r>
              <w:rPr>
                <w:rFonts w:ascii="Calibri" w:hAnsi="Calibri" w:cs="Arial"/>
                <w:sz w:val="18"/>
                <w:szCs w:val="18"/>
                <w:lang w:val="en-GB"/>
              </w:rPr>
              <w:t>0.2</w:t>
            </w:r>
          </w:p>
        </w:tc>
        <w:tc>
          <w:tcPr>
            <w:tcW w:w="1985" w:type="dxa"/>
            <w:tcBorders>
              <w:top w:val="single" w:sz="12" w:space="0" w:color="auto"/>
              <w:left w:val="single" w:sz="4" w:space="0" w:color="auto"/>
              <w:bottom w:val="single" w:sz="4" w:space="0" w:color="auto"/>
              <w:right w:val="single" w:sz="4" w:space="0" w:color="auto"/>
            </w:tcBorders>
            <w:shd w:val="clear" w:color="auto" w:fill="DDD9C3"/>
          </w:tcPr>
          <w:p w14:paraId="6055B117" w14:textId="77777777" w:rsidR="004C4031" w:rsidRPr="003D2E4D" w:rsidRDefault="004C4031" w:rsidP="003E0810">
            <w:pPr>
              <w:spacing w:line="252" w:lineRule="auto"/>
              <w:jc w:val="center"/>
              <w:rPr>
                <w:rFonts w:ascii="Calibri" w:hAnsi="Calibri" w:cs="Arial"/>
                <w:sz w:val="18"/>
                <w:szCs w:val="18"/>
                <w:lang w:val="en-GB"/>
              </w:rPr>
            </w:pPr>
          </w:p>
        </w:tc>
      </w:tr>
      <w:tr w:rsidR="004C4031" w:rsidRPr="00432C2A" w14:paraId="46C72799" w14:textId="77777777" w:rsidTr="003E0810">
        <w:trPr>
          <w:trHeight w:val="288"/>
        </w:trPr>
        <w:tc>
          <w:tcPr>
            <w:tcW w:w="1384" w:type="dxa"/>
            <w:vMerge/>
            <w:tcBorders>
              <w:left w:val="single" w:sz="8" w:space="0" w:color="auto"/>
              <w:bottom w:val="single" w:sz="12" w:space="0" w:color="auto"/>
              <w:right w:val="single" w:sz="8" w:space="0" w:color="auto"/>
            </w:tcBorders>
            <w:tcMar>
              <w:top w:w="0" w:type="dxa"/>
              <w:left w:w="108" w:type="dxa"/>
              <w:bottom w:w="0" w:type="dxa"/>
              <w:right w:w="108" w:type="dxa"/>
            </w:tcMar>
            <w:vAlign w:val="center"/>
          </w:tcPr>
          <w:p w14:paraId="55C070D9" w14:textId="77777777" w:rsidR="004C4031" w:rsidRPr="003C5B44" w:rsidRDefault="004C4031" w:rsidP="003E0810">
            <w:pPr>
              <w:spacing w:line="252" w:lineRule="auto"/>
              <w:rPr>
                <w:rFonts w:ascii="Calibri" w:hAnsi="Calibri" w:cs="Arial"/>
                <w:sz w:val="18"/>
                <w:szCs w:val="18"/>
              </w:rPr>
            </w:pPr>
          </w:p>
        </w:tc>
        <w:tc>
          <w:tcPr>
            <w:tcW w:w="1701" w:type="dxa"/>
            <w:tcBorders>
              <w:top w:val="single" w:sz="8" w:space="0" w:color="auto"/>
              <w:left w:val="nil"/>
              <w:bottom w:val="single" w:sz="12" w:space="0" w:color="auto"/>
              <w:right w:val="single" w:sz="4" w:space="0" w:color="auto"/>
            </w:tcBorders>
            <w:shd w:val="clear" w:color="auto" w:fill="DDD9C3"/>
            <w:vAlign w:val="center"/>
          </w:tcPr>
          <w:p w14:paraId="52B6072D" w14:textId="77777777" w:rsidR="004C4031" w:rsidRPr="004447EF" w:rsidRDefault="004C4031" w:rsidP="000146D4">
            <w:pPr>
              <w:spacing w:line="252" w:lineRule="auto"/>
              <w:jc w:val="center"/>
              <w:rPr>
                <w:rFonts w:ascii="Calibri" w:hAnsi="Calibri" w:cs="Arial"/>
                <w:sz w:val="18"/>
                <w:szCs w:val="18"/>
                <w:lang w:val="en-GB"/>
              </w:rPr>
            </w:pPr>
            <w:r w:rsidRPr="00744729">
              <w:rPr>
                <w:rFonts w:ascii="Calibri" w:hAnsi="Calibri" w:cs="Arial"/>
                <w:b/>
                <w:sz w:val="18"/>
                <w:szCs w:val="18"/>
                <w:lang w:val="en-GB"/>
              </w:rPr>
              <w:t>New limits</w:t>
            </w:r>
            <w:r w:rsidR="004447EF" w:rsidRPr="004447EF">
              <w:rPr>
                <w:rFonts w:ascii="Calibri" w:hAnsi="Calibri" w:cs="Arial"/>
                <w:sz w:val="18"/>
                <w:szCs w:val="18"/>
                <w:lang w:val="en-GB"/>
              </w:rPr>
              <w:t xml:space="preserve"> </w:t>
            </w:r>
          </w:p>
        </w:tc>
        <w:tc>
          <w:tcPr>
            <w:tcW w:w="1843" w:type="dxa"/>
            <w:tcBorders>
              <w:top w:val="single" w:sz="4" w:space="0" w:color="auto"/>
              <w:left w:val="single" w:sz="4" w:space="0" w:color="auto"/>
              <w:bottom w:val="single" w:sz="12" w:space="0" w:color="auto"/>
              <w:right w:val="single" w:sz="4" w:space="0" w:color="auto"/>
            </w:tcBorders>
            <w:shd w:val="clear" w:color="auto" w:fill="DDD9C3"/>
            <w:tcMar>
              <w:top w:w="0" w:type="dxa"/>
              <w:left w:w="108" w:type="dxa"/>
              <w:bottom w:w="0" w:type="dxa"/>
              <w:right w:w="108" w:type="dxa"/>
            </w:tcMar>
            <w:vAlign w:val="center"/>
          </w:tcPr>
          <w:p w14:paraId="2C3E3B17" w14:textId="77777777" w:rsidR="004C4031" w:rsidRPr="003C5B44" w:rsidRDefault="009634C2" w:rsidP="003E0810">
            <w:pPr>
              <w:spacing w:line="252" w:lineRule="auto"/>
              <w:jc w:val="center"/>
              <w:rPr>
                <w:rFonts w:ascii="Calibri" w:hAnsi="Calibri" w:cs="Arial"/>
                <w:sz w:val="18"/>
                <w:szCs w:val="18"/>
              </w:rPr>
            </w:pPr>
            <w:r>
              <w:rPr>
                <w:rFonts w:ascii="Calibri" w:hAnsi="Calibri" w:cs="Arial"/>
                <w:sz w:val="18"/>
                <w:szCs w:val="18"/>
              </w:rPr>
              <w:t>No change</w:t>
            </w:r>
          </w:p>
        </w:tc>
        <w:tc>
          <w:tcPr>
            <w:tcW w:w="1984" w:type="dxa"/>
            <w:tcBorders>
              <w:top w:val="single" w:sz="4" w:space="0" w:color="auto"/>
              <w:left w:val="single" w:sz="4" w:space="0" w:color="auto"/>
              <w:bottom w:val="single" w:sz="12" w:space="0" w:color="auto"/>
              <w:right w:val="single" w:sz="4" w:space="0" w:color="auto"/>
            </w:tcBorders>
            <w:shd w:val="clear" w:color="auto" w:fill="DDD9C3"/>
            <w:tcMar>
              <w:top w:w="0" w:type="dxa"/>
              <w:left w:w="108" w:type="dxa"/>
              <w:bottom w:w="0" w:type="dxa"/>
              <w:right w:w="108" w:type="dxa"/>
            </w:tcMar>
            <w:vAlign w:val="center"/>
          </w:tcPr>
          <w:p w14:paraId="6A6DB0DA" w14:textId="77777777" w:rsidR="004C4031" w:rsidRPr="003C5B44" w:rsidRDefault="009634C2" w:rsidP="003E0810">
            <w:pPr>
              <w:spacing w:line="252" w:lineRule="auto"/>
              <w:jc w:val="center"/>
              <w:rPr>
                <w:rFonts w:ascii="Calibri" w:hAnsi="Calibri" w:cs="Arial"/>
                <w:sz w:val="18"/>
                <w:szCs w:val="18"/>
              </w:rPr>
            </w:pPr>
            <w:r>
              <w:rPr>
                <w:rFonts w:ascii="Calibri" w:hAnsi="Calibri" w:cs="Arial"/>
                <w:sz w:val="18"/>
                <w:szCs w:val="18"/>
              </w:rPr>
              <w:t>No change</w:t>
            </w:r>
          </w:p>
        </w:tc>
        <w:tc>
          <w:tcPr>
            <w:tcW w:w="1701" w:type="dxa"/>
            <w:tcBorders>
              <w:top w:val="single" w:sz="4" w:space="0" w:color="auto"/>
              <w:left w:val="single" w:sz="4" w:space="0" w:color="auto"/>
              <w:bottom w:val="single" w:sz="12" w:space="0" w:color="auto"/>
              <w:right w:val="single" w:sz="4" w:space="0" w:color="auto"/>
            </w:tcBorders>
            <w:shd w:val="clear" w:color="auto" w:fill="DDD9C3"/>
            <w:tcMar>
              <w:top w:w="0" w:type="dxa"/>
              <w:left w:w="108" w:type="dxa"/>
              <w:bottom w:w="0" w:type="dxa"/>
              <w:right w:w="108" w:type="dxa"/>
            </w:tcMar>
            <w:vAlign w:val="center"/>
          </w:tcPr>
          <w:p w14:paraId="0D2690B0" w14:textId="77777777" w:rsidR="004C4031" w:rsidRPr="003D2E4D" w:rsidRDefault="009634C2" w:rsidP="003E0810">
            <w:pPr>
              <w:spacing w:line="252" w:lineRule="auto"/>
              <w:jc w:val="center"/>
              <w:rPr>
                <w:rFonts w:ascii="Calibri" w:hAnsi="Calibri" w:cs="Arial"/>
                <w:sz w:val="18"/>
                <w:szCs w:val="18"/>
              </w:rPr>
            </w:pPr>
            <w:r>
              <w:rPr>
                <w:rFonts w:ascii="Calibri" w:hAnsi="Calibri" w:cs="Arial"/>
                <w:sz w:val="18"/>
                <w:szCs w:val="18"/>
              </w:rPr>
              <w:t>0.053 (LOQ from EN 71-3)</w:t>
            </w:r>
          </w:p>
        </w:tc>
        <w:tc>
          <w:tcPr>
            <w:tcW w:w="1985" w:type="dxa"/>
            <w:tcBorders>
              <w:top w:val="single" w:sz="4" w:space="0" w:color="auto"/>
              <w:left w:val="single" w:sz="4" w:space="0" w:color="auto"/>
              <w:bottom w:val="single" w:sz="12" w:space="0" w:color="auto"/>
              <w:right w:val="single" w:sz="4" w:space="0" w:color="auto"/>
            </w:tcBorders>
            <w:shd w:val="clear" w:color="auto" w:fill="DDD9C3"/>
          </w:tcPr>
          <w:p w14:paraId="1B895C39" w14:textId="77777777" w:rsidR="00190D39" w:rsidRDefault="00D0766B" w:rsidP="003E0810">
            <w:pPr>
              <w:spacing w:after="0" w:line="240" w:lineRule="auto"/>
              <w:jc w:val="center"/>
              <w:rPr>
                <w:rFonts w:ascii="Calibri" w:hAnsi="Calibri" w:cs="Arial"/>
                <w:sz w:val="18"/>
                <w:szCs w:val="18"/>
                <w:lang w:val="en-GB"/>
              </w:rPr>
            </w:pPr>
            <w:hyperlink r:id="rId21" w:history="1">
              <w:r w:rsidR="0021009B" w:rsidRPr="0021009B">
                <w:rPr>
                  <w:rStyle w:val="Lienhypertexte"/>
                  <w:rFonts w:ascii="Calibri" w:hAnsi="Calibri" w:cs="Arial"/>
                  <w:sz w:val="18"/>
                  <w:szCs w:val="18"/>
                  <w:lang w:val="en-GB"/>
                </w:rPr>
                <w:t>Commission Directive 2018/725/EU</w:t>
              </w:r>
            </w:hyperlink>
          </w:p>
          <w:p w14:paraId="7FA3B797" w14:textId="77E1D693" w:rsidR="004C4031" w:rsidRPr="00744729" w:rsidRDefault="000673AE" w:rsidP="000146D4">
            <w:pPr>
              <w:spacing w:after="0" w:line="240" w:lineRule="auto"/>
              <w:jc w:val="center"/>
              <w:rPr>
                <w:rFonts w:ascii="Calibri" w:hAnsi="Calibri" w:cs="Arial"/>
                <w:b/>
                <w:sz w:val="18"/>
                <w:szCs w:val="18"/>
                <w:lang w:val="en-GB"/>
              </w:rPr>
            </w:pPr>
            <w:r w:rsidRPr="000673AE">
              <w:rPr>
                <w:rFonts w:ascii="Calibri" w:hAnsi="Calibri" w:cs="Arial"/>
                <w:b/>
                <w:sz w:val="18"/>
                <w:szCs w:val="18"/>
                <w:lang w:val="en-GB"/>
              </w:rPr>
              <w:t xml:space="preserve">Applies since </w:t>
            </w:r>
            <w:r w:rsidR="0021009B" w:rsidRPr="000673AE">
              <w:rPr>
                <w:rFonts w:ascii="Calibri" w:hAnsi="Calibri" w:cs="Arial"/>
                <w:b/>
                <w:sz w:val="18"/>
                <w:szCs w:val="18"/>
                <w:lang w:val="en-GB"/>
              </w:rPr>
              <w:t>18 Nov 2019</w:t>
            </w:r>
          </w:p>
        </w:tc>
      </w:tr>
      <w:tr w:rsidR="0021009B" w:rsidRPr="003D2E4D" w14:paraId="2E42F1E5" w14:textId="77777777" w:rsidTr="00004579">
        <w:trPr>
          <w:trHeight w:val="288"/>
        </w:trPr>
        <w:tc>
          <w:tcPr>
            <w:tcW w:w="1384" w:type="dxa"/>
            <w:vMerge w:val="restart"/>
            <w:tcBorders>
              <w:top w:val="single" w:sz="12" w:space="0" w:color="auto"/>
              <w:left w:val="single" w:sz="8" w:space="0" w:color="auto"/>
              <w:right w:val="single" w:sz="8" w:space="0" w:color="auto"/>
            </w:tcBorders>
            <w:tcMar>
              <w:top w:w="0" w:type="dxa"/>
              <w:left w:w="108" w:type="dxa"/>
              <w:bottom w:w="0" w:type="dxa"/>
              <w:right w:w="108" w:type="dxa"/>
            </w:tcMar>
            <w:vAlign w:val="center"/>
            <w:hideMark/>
          </w:tcPr>
          <w:p w14:paraId="6146E947" w14:textId="77777777" w:rsidR="0021009B" w:rsidRPr="003C5B44" w:rsidRDefault="0021009B" w:rsidP="00004579">
            <w:pPr>
              <w:spacing w:line="252" w:lineRule="auto"/>
              <w:rPr>
                <w:rFonts w:ascii="Calibri" w:hAnsi="Calibri" w:cs="Arial"/>
                <w:sz w:val="18"/>
                <w:szCs w:val="18"/>
                <w:lang w:val="en-GB"/>
              </w:rPr>
            </w:pPr>
            <w:r>
              <w:rPr>
                <w:rFonts w:ascii="Calibri" w:hAnsi="Calibri" w:cs="Arial"/>
                <w:sz w:val="18"/>
                <w:szCs w:val="18"/>
              </w:rPr>
              <w:t>Aluminium</w:t>
            </w:r>
          </w:p>
        </w:tc>
        <w:tc>
          <w:tcPr>
            <w:tcW w:w="1701" w:type="dxa"/>
            <w:tcBorders>
              <w:top w:val="single" w:sz="12" w:space="0" w:color="auto"/>
              <w:left w:val="nil"/>
              <w:bottom w:val="single" w:sz="8" w:space="0" w:color="auto"/>
              <w:right w:val="single" w:sz="4" w:space="0" w:color="auto"/>
            </w:tcBorders>
            <w:shd w:val="clear" w:color="auto" w:fill="DDD9C3"/>
            <w:vAlign w:val="center"/>
          </w:tcPr>
          <w:p w14:paraId="78703AAE" w14:textId="77777777" w:rsidR="0021009B" w:rsidRPr="003C5B44" w:rsidRDefault="0021009B" w:rsidP="00004579">
            <w:pPr>
              <w:spacing w:line="252" w:lineRule="auto"/>
              <w:jc w:val="center"/>
              <w:rPr>
                <w:rFonts w:ascii="Calibri" w:hAnsi="Calibri" w:cs="Arial"/>
                <w:sz w:val="18"/>
                <w:szCs w:val="18"/>
              </w:rPr>
            </w:pPr>
            <w:r>
              <w:rPr>
                <w:rFonts w:ascii="Calibri" w:hAnsi="Calibri" w:cs="Arial"/>
                <w:sz w:val="18"/>
                <w:szCs w:val="18"/>
              </w:rPr>
              <w:t>Current TSD limits</w:t>
            </w:r>
          </w:p>
        </w:tc>
        <w:tc>
          <w:tcPr>
            <w:tcW w:w="1843" w:type="dxa"/>
            <w:tcBorders>
              <w:top w:val="single" w:sz="12" w:space="0" w:color="auto"/>
              <w:left w:val="single" w:sz="4" w:space="0" w:color="auto"/>
              <w:bottom w:val="single" w:sz="4" w:space="0" w:color="auto"/>
              <w:right w:val="single" w:sz="4" w:space="0" w:color="auto"/>
            </w:tcBorders>
            <w:shd w:val="clear" w:color="auto" w:fill="DDD9C3"/>
            <w:tcMar>
              <w:top w:w="0" w:type="dxa"/>
              <w:left w:w="108" w:type="dxa"/>
              <w:bottom w:w="0" w:type="dxa"/>
              <w:right w:w="108" w:type="dxa"/>
            </w:tcMar>
            <w:vAlign w:val="center"/>
          </w:tcPr>
          <w:p w14:paraId="04882904" w14:textId="77777777" w:rsidR="0021009B" w:rsidRPr="003C5B44" w:rsidRDefault="001763B9" w:rsidP="00004579">
            <w:pPr>
              <w:spacing w:line="252" w:lineRule="auto"/>
              <w:jc w:val="center"/>
              <w:rPr>
                <w:rFonts w:ascii="Calibri" w:hAnsi="Calibri" w:cs="Arial"/>
                <w:sz w:val="18"/>
                <w:szCs w:val="18"/>
                <w:lang w:val="en-GB"/>
              </w:rPr>
            </w:pPr>
            <w:r>
              <w:rPr>
                <w:rFonts w:ascii="Calibri" w:hAnsi="Calibri" w:cs="Arial"/>
                <w:sz w:val="18"/>
                <w:szCs w:val="18"/>
                <w:lang w:val="en-GB"/>
              </w:rPr>
              <w:t>5625</w:t>
            </w:r>
          </w:p>
        </w:tc>
        <w:tc>
          <w:tcPr>
            <w:tcW w:w="1984" w:type="dxa"/>
            <w:tcBorders>
              <w:top w:val="single" w:sz="12" w:space="0" w:color="auto"/>
              <w:left w:val="single" w:sz="4" w:space="0" w:color="auto"/>
              <w:bottom w:val="single" w:sz="4" w:space="0" w:color="auto"/>
              <w:right w:val="single" w:sz="4" w:space="0" w:color="auto"/>
            </w:tcBorders>
            <w:shd w:val="clear" w:color="auto" w:fill="DDD9C3"/>
            <w:tcMar>
              <w:top w:w="0" w:type="dxa"/>
              <w:left w:w="108" w:type="dxa"/>
              <w:bottom w:w="0" w:type="dxa"/>
              <w:right w:w="108" w:type="dxa"/>
            </w:tcMar>
            <w:vAlign w:val="center"/>
          </w:tcPr>
          <w:p w14:paraId="769A1F0B" w14:textId="77777777" w:rsidR="0021009B" w:rsidRPr="003C5B44" w:rsidRDefault="001763B9" w:rsidP="00004579">
            <w:pPr>
              <w:spacing w:line="252" w:lineRule="auto"/>
              <w:jc w:val="center"/>
              <w:rPr>
                <w:rFonts w:ascii="Calibri" w:hAnsi="Calibri" w:cs="Arial"/>
                <w:sz w:val="18"/>
                <w:szCs w:val="18"/>
                <w:lang w:val="en-GB"/>
              </w:rPr>
            </w:pPr>
            <w:r>
              <w:rPr>
                <w:rFonts w:ascii="Calibri" w:hAnsi="Calibri" w:cs="Arial"/>
                <w:sz w:val="18"/>
                <w:szCs w:val="18"/>
                <w:lang w:val="en-GB"/>
              </w:rPr>
              <w:t>1406</w:t>
            </w:r>
          </w:p>
        </w:tc>
        <w:tc>
          <w:tcPr>
            <w:tcW w:w="1701" w:type="dxa"/>
            <w:tcBorders>
              <w:top w:val="single" w:sz="12" w:space="0" w:color="auto"/>
              <w:left w:val="single" w:sz="4" w:space="0" w:color="auto"/>
              <w:bottom w:val="single" w:sz="4" w:space="0" w:color="auto"/>
              <w:right w:val="single" w:sz="4" w:space="0" w:color="auto"/>
            </w:tcBorders>
            <w:shd w:val="clear" w:color="auto" w:fill="DDD9C3"/>
            <w:tcMar>
              <w:top w:w="0" w:type="dxa"/>
              <w:left w:w="108" w:type="dxa"/>
              <w:bottom w:w="0" w:type="dxa"/>
              <w:right w:w="108" w:type="dxa"/>
            </w:tcMar>
            <w:vAlign w:val="center"/>
          </w:tcPr>
          <w:p w14:paraId="11A5E9BA" w14:textId="77777777" w:rsidR="0021009B" w:rsidRPr="003D2E4D" w:rsidRDefault="001763B9" w:rsidP="00004579">
            <w:pPr>
              <w:spacing w:line="252" w:lineRule="auto"/>
              <w:jc w:val="center"/>
              <w:rPr>
                <w:rFonts w:ascii="Calibri" w:hAnsi="Calibri" w:cs="Arial"/>
                <w:sz w:val="18"/>
                <w:szCs w:val="18"/>
                <w:lang w:val="en-GB"/>
              </w:rPr>
            </w:pPr>
            <w:r>
              <w:rPr>
                <w:rFonts w:ascii="Calibri" w:hAnsi="Calibri" w:cs="Arial"/>
                <w:sz w:val="18"/>
                <w:szCs w:val="18"/>
                <w:lang w:val="en-GB"/>
              </w:rPr>
              <w:t>70000</w:t>
            </w:r>
          </w:p>
        </w:tc>
        <w:tc>
          <w:tcPr>
            <w:tcW w:w="1985" w:type="dxa"/>
            <w:tcBorders>
              <w:top w:val="single" w:sz="12" w:space="0" w:color="auto"/>
              <w:left w:val="single" w:sz="4" w:space="0" w:color="auto"/>
              <w:bottom w:val="single" w:sz="4" w:space="0" w:color="auto"/>
              <w:right w:val="single" w:sz="4" w:space="0" w:color="auto"/>
            </w:tcBorders>
            <w:shd w:val="clear" w:color="auto" w:fill="DDD9C3"/>
          </w:tcPr>
          <w:p w14:paraId="25043A72" w14:textId="77777777" w:rsidR="0021009B" w:rsidRPr="003D2E4D" w:rsidRDefault="0021009B" w:rsidP="00004579">
            <w:pPr>
              <w:spacing w:line="252" w:lineRule="auto"/>
              <w:jc w:val="center"/>
              <w:rPr>
                <w:rFonts w:ascii="Calibri" w:hAnsi="Calibri" w:cs="Arial"/>
                <w:sz w:val="18"/>
                <w:szCs w:val="18"/>
                <w:lang w:val="en-GB"/>
              </w:rPr>
            </w:pPr>
          </w:p>
        </w:tc>
      </w:tr>
      <w:tr w:rsidR="0021009B" w:rsidRPr="00843272" w14:paraId="49B8CBA4" w14:textId="77777777" w:rsidTr="00004579">
        <w:trPr>
          <w:trHeight w:val="288"/>
        </w:trPr>
        <w:tc>
          <w:tcPr>
            <w:tcW w:w="1384" w:type="dxa"/>
            <w:vMerge/>
            <w:tcBorders>
              <w:left w:val="single" w:sz="8" w:space="0" w:color="auto"/>
              <w:bottom w:val="single" w:sz="12" w:space="0" w:color="auto"/>
              <w:right w:val="single" w:sz="8" w:space="0" w:color="auto"/>
            </w:tcBorders>
            <w:tcMar>
              <w:top w:w="0" w:type="dxa"/>
              <w:left w:w="108" w:type="dxa"/>
              <w:bottom w:w="0" w:type="dxa"/>
              <w:right w:w="108" w:type="dxa"/>
            </w:tcMar>
            <w:vAlign w:val="center"/>
          </w:tcPr>
          <w:p w14:paraId="5946A6CC" w14:textId="77777777" w:rsidR="0021009B" w:rsidRPr="003C5B44" w:rsidRDefault="0021009B" w:rsidP="00004579">
            <w:pPr>
              <w:spacing w:line="252" w:lineRule="auto"/>
              <w:rPr>
                <w:rFonts w:ascii="Calibri" w:hAnsi="Calibri" w:cs="Arial"/>
                <w:sz w:val="18"/>
                <w:szCs w:val="18"/>
              </w:rPr>
            </w:pPr>
          </w:p>
        </w:tc>
        <w:tc>
          <w:tcPr>
            <w:tcW w:w="1701" w:type="dxa"/>
            <w:tcBorders>
              <w:top w:val="single" w:sz="8" w:space="0" w:color="auto"/>
              <w:left w:val="nil"/>
              <w:bottom w:val="single" w:sz="12" w:space="0" w:color="auto"/>
              <w:right w:val="single" w:sz="4" w:space="0" w:color="auto"/>
            </w:tcBorders>
            <w:shd w:val="clear" w:color="auto" w:fill="DDD9C3"/>
            <w:vAlign w:val="center"/>
          </w:tcPr>
          <w:p w14:paraId="0679BA54" w14:textId="3EEDC756" w:rsidR="0021009B" w:rsidRPr="004447EF" w:rsidRDefault="0021009B" w:rsidP="00004579">
            <w:pPr>
              <w:spacing w:line="252" w:lineRule="auto"/>
              <w:jc w:val="center"/>
              <w:rPr>
                <w:rFonts w:ascii="Calibri" w:hAnsi="Calibri" w:cs="Arial"/>
                <w:sz w:val="18"/>
                <w:szCs w:val="18"/>
                <w:lang w:val="en-GB"/>
              </w:rPr>
            </w:pPr>
            <w:r w:rsidRPr="00744729">
              <w:rPr>
                <w:rFonts w:ascii="Calibri" w:hAnsi="Calibri" w:cs="Arial"/>
                <w:b/>
                <w:sz w:val="18"/>
                <w:szCs w:val="18"/>
                <w:lang w:val="en-GB"/>
              </w:rPr>
              <w:t>New limits</w:t>
            </w:r>
            <w:r w:rsidRPr="004447EF">
              <w:rPr>
                <w:rFonts w:ascii="Calibri" w:hAnsi="Calibri" w:cs="Arial"/>
                <w:sz w:val="18"/>
                <w:szCs w:val="18"/>
                <w:lang w:val="en-GB"/>
              </w:rPr>
              <w:t xml:space="preserve"> </w:t>
            </w:r>
          </w:p>
        </w:tc>
        <w:tc>
          <w:tcPr>
            <w:tcW w:w="1843" w:type="dxa"/>
            <w:tcBorders>
              <w:top w:val="single" w:sz="4" w:space="0" w:color="auto"/>
              <w:left w:val="single" w:sz="4" w:space="0" w:color="auto"/>
              <w:bottom w:val="single" w:sz="12" w:space="0" w:color="auto"/>
              <w:right w:val="single" w:sz="4" w:space="0" w:color="auto"/>
            </w:tcBorders>
            <w:shd w:val="clear" w:color="auto" w:fill="DDD9C3"/>
            <w:tcMar>
              <w:top w:w="0" w:type="dxa"/>
              <w:left w:w="108" w:type="dxa"/>
              <w:bottom w:w="0" w:type="dxa"/>
              <w:right w:w="108" w:type="dxa"/>
            </w:tcMar>
            <w:vAlign w:val="center"/>
          </w:tcPr>
          <w:p w14:paraId="06EDD04E" w14:textId="77777777" w:rsidR="0021009B" w:rsidRPr="003C5B44" w:rsidRDefault="00A31C6F" w:rsidP="00004579">
            <w:pPr>
              <w:spacing w:line="252" w:lineRule="auto"/>
              <w:jc w:val="center"/>
              <w:rPr>
                <w:rFonts w:ascii="Calibri" w:hAnsi="Calibri" w:cs="Arial"/>
                <w:sz w:val="18"/>
                <w:szCs w:val="18"/>
              </w:rPr>
            </w:pPr>
            <w:r>
              <w:rPr>
                <w:rFonts w:ascii="Calibri" w:hAnsi="Calibri" w:cs="Arial"/>
                <w:sz w:val="18"/>
                <w:szCs w:val="18"/>
              </w:rPr>
              <w:t>2250</w:t>
            </w:r>
          </w:p>
        </w:tc>
        <w:tc>
          <w:tcPr>
            <w:tcW w:w="1984" w:type="dxa"/>
            <w:tcBorders>
              <w:top w:val="single" w:sz="4" w:space="0" w:color="auto"/>
              <w:left w:val="single" w:sz="4" w:space="0" w:color="auto"/>
              <w:bottom w:val="single" w:sz="12" w:space="0" w:color="auto"/>
              <w:right w:val="single" w:sz="4" w:space="0" w:color="auto"/>
            </w:tcBorders>
            <w:shd w:val="clear" w:color="auto" w:fill="DDD9C3"/>
            <w:tcMar>
              <w:top w:w="0" w:type="dxa"/>
              <w:left w:w="108" w:type="dxa"/>
              <w:bottom w:w="0" w:type="dxa"/>
              <w:right w:w="108" w:type="dxa"/>
            </w:tcMar>
            <w:vAlign w:val="center"/>
          </w:tcPr>
          <w:p w14:paraId="6C5D051E" w14:textId="77777777" w:rsidR="0021009B" w:rsidRPr="003C5B44" w:rsidRDefault="00A31C6F" w:rsidP="00004579">
            <w:pPr>
              <w:spacing w:line="252" w:lineRule="auto"/>
              <w:jc w:val="center"/>
              <w:rPr>
                <w:rFonts w:ascii="Calibri" w:hAnsi="Calibri" w:cs="Arial"/>
                <w:sz w:val="18"/>
                <w:szCs w:val="18"/>
              </w:rPr>
            </w:pPr>
            <w:r>
              <w:rPr>
                <w:rFonts w:ascii="Calibri" w:hAnsi="Calibri" w:cs="Arial"/>
                <w:sz w:val="18"/>
                <w:szCs w:val="18"/>
              </w:rPr>
              <w:t>560</w:t>
            </w:r>
          </w:p>
        </w:tc>
        <w:tc>
          <w:tcPr>
            <w:tcW w:w="1701" w:type="dxa"/>
            <w:tcBorders>
              <w:top w:val="single" w:sz="4" w:space="0" w:color="auto"/>
              <w:left w:val="single" w:sz="4" w:space="0" w:color="auto"/>
              <w:bottom w:val="single" w:sz="12" w:space="0" w:color="auto"/>
              <w:right w:val="single" w:sz="4" w:space="0" w:color="auto"/>
            </w:tcBorders>
            <w:shd w:val="clear" w:color="auto" w:fill="DDD9C3"/>
            <w:tcMar>
              <w:top w:w="0" w:type="dxa"/>
              <w:left w:w="108" w:type="dxa"/>
              <w:bottom w:w="0" w:type="dxa"/>
              <w:right w:w="108" w:type="dxa"/>
            </w:tcMar>
            <w:vAlign w:val="center"/>
          </w:tcPr>
          <w:p w14:paraId="479A465C" w14:textId="77777777" w:rsidR="0021009B" w:rsidRPr="003D2E4D" w:rsidRDefault="00A31C6F" w:rsidP="00004579">
            <w:pPr>
              <w:spacing w:line="252" w:lineRule="auto"/>
              <w:jc w:val="center"/>
              <w:rPr>
                <w:rFonts w:ascii="Calibri" w:hAnsi="Calibri" w:cs="Arial"/>
                <w:sz w:val="18"/>
                <w:szCs w:val="18"/>
              </w:rPr>
            </w:pPr>
            <w:r>
              <w:rPr>
                <w:rFonts w:ascii="Calibri" w:hAnsi="Calibri" w:cs="Arial"/>
                <w:sz w:val="18"/>
                <w:szCs w:val="18"/>
              </w:rPr>
              <w:t>28130</w:t>
            </w:r>
          </w:p>
        </w:tc>
        <w:tc>
          <w:tcPr>
            <w:tcW w:w="1985" w:type="dxa"/>
            <w:tcBorders>
              <w:top w:val="single" w:sz="4" w:space="0" w:color="auto"/>
              <w:left w:val="single" w:sz="4" w:space="0" w:color="auto"/>
              <w:bottom w:val="single" w:sz="12" w:space="0" w:color="auto"/>
              <w:right w:val="single" w:sz="4" w:space="0" w:color="auto"/>
            </w:tcBorders>
            <w:shd w:val="clear" w:color="auto" w:fill="DDD9C3"/>
          </w:tcPr>
          <w:p w14:paraId="048A1802" w14:textId="699081E6" w:rsidR="0021009B" w:rsidRDefault="000673AE" w:rsidP="00004579">
            <w:pPr>
              <w:spacing w:after="0" w:line="240" w:lineRule="auto"/>
              <w:jc w:val="center"/>
              <w:rPr>
                <w:rFonts w:ascii="Calibri" w:hAnsi="Calibri" w:cs="Arial"/>
                <w:sz w:val="18"/>
                <w:szCs w:val="18"/>
                <w:lang w:val="en-GB"/>
              </w:rPr>
            </w:pPr>
            <w:r>
              <w:rPr>
                <w:rFonts w:ascii="Calibri" w:hAnsi="Calibri" w:cs="Arial"/>
                <w:sz w:val="18"/>
                <w:szCs w:val="18"/>
                <w:lang w:val="en-GB"/>
              </w:rPr>
              <w:t xml:space="preserve">Commission Directive </w:t>
            </w:r>
            <w:hyperlink r:id="rId22" w:history="1">
              <w:r w:rsidRPr="000673AE">
                <w:rPr>
                  <w:rStyle w:val="Lienhypertexte"/>
                  <w:rFonts w:ascii="Calibri" w:hAnsi="Calibri" w:cs="Arial"/>
                  <w:sz w:val="18"/>
                  <w:szCs w:val="18"/>
                  <w:lang w:val="en-GB"/>
                </w:rPr>
                <w:t>2019/1922/EU</w:t>
              </w:r>
            </w:hyperlink>
          </w:p>
          <w:p w14:paraId="40C7BD5F" w14:textId="69D21671" w:rsidR="0021009B" w:rsidRPr="00744729" w:rsidRDefault="0021009B" w:rsidP="00004579">
            <w:pPr>
              <w:spacing w:after="0" w:line="240" w:lineRule="auto"/>
              <w:jc w:val="center"/>
              <w:rPr>
                <w:rFonts w:ascii="Calibri" w:hAnsi="Calibri" w:cs="Arial"/>
                <w:b/>
                <w:sz w:val="18"/>
                <w:szCs w:val="18"/>
                <w:lang w:val="en-GB"/>
              </w:rPr>
            </w:pPr>
            <w:r w:rsidRPr="009634C2">
              <w:rPr>
                <w:rFonts w:ascii="Calibri" w:hAnsi="Calibri" w:cs="Arial"/>
                <w:color w:val="FF0000"/>
                <w:sz w:val="18"/>
                <w:szCs w:val="18"/>
                <w:lang w:val="en-GB"/>
              </w:rPr>
              <w:t xml:space="preserve"> </w:t>
            </w:r>
            <w:r w:rsidR="000673AE">
              <w:rPr>
                <w:rFonts w:ascii="Calibri" w:hAnsi="Calibri" w:cs="Arial"/>
                <w:b/>
                <w:color w:val="FF0000"/>
                <w:sz w:val="18"/>
                <w:szCs w:val="18"/>
                <w:lang w:val="en-GB"/>
              </w:rPr>
              <w:t xml:space="preserve"> </w:t>
            </w:r>
            <w:r w:rsidR="00E426E7" w:rsidRPr="00E426E7">
              <w:rPr>
                <w:rFonts w:ascii="Calibri" w:hAnsi="Calibri" w:cs="Arial"/>
                <w:b/>
                <w:sz w:val="18"/>
                <w:szCs w:val="18"/>
                <w:lang w:val="en-GB"/>
              </w:rPr>
              <w:t>Applies since</w:t>
            </w:r>
            <w:r w:rsidR="000673AE" w:rsidRPr="00E426E7">
              <w:rPr>
                <w:rFonts w:ascii="Calibri" w:hAnsi="Calibri" w:cs="Arial"/>
                <w:b/>
                <w:sz w:val="18"/>
                <w:szCs w:val="18"/>
                <w:lang w:val="en-GB"/>
              </w:rPr>
              <w:t xml:space="preserve"> 20 May</w:t>
            </w:r>
            <w:r w:rsidRPr="00E426E7">
              <w:rPr>
                <w:rFonts w:ascii="Calibri" w:hAnsi="Calibri" w:cs="Arial"/>
                <w:b/>
                <w:sz w:val="18"/>
                <w:szCs w:val="18"/>
                <w:lang w:val="en-GB"/>
              </w:rPr>
              <w:t xml:space="preserve"> 20</w:t>
            </w:r>
            <w:r w:rsidR="00075651" w:rsidRPr="00E426E7">
              <w:rPr>
                <w:rFonts w:ascii="Calibri" w:hAnsi="Calibri" w:cs="Arial"/>
                <w:b/>
                <w:sz w:val="18"/>
                <w:szCs w:val="18"/>
                <w:lang w:val="en-GB"/>
              </w:rPr>
              <w:t>2</w:t>
            </w:r>
            <w:r w:rsidR="000673AE" w:rsidRPr="00E426E7">
              <w:rPr>
                <w:rFonts w:ascii="Calibri" w:hAnsi="Calibri" w:cs="Arial"/>
                <w:b/>
                <w:sz w:val="18"/>
                <w:szCs w:val="18"/>
                <w:lang w:val="en-GB"/>
              </w:rPr>
              <w:t>1</w:t>
            </w:r>
          </w:p>
        </w:tc>
      </w:tr>
    </w:tbl>
    <w:p w14:paraId="149A0FFC" w14:textId="77777777" w:rsidR="007655E6" w:rsidRDefault="007655E6" w:rsidP="00DC72CD">
      <w:pPr>
        <w:pStyle w:val="Paragraphedeliste"/>
        <w:spacing w:after="0" w:line="240" w:lineRule="auto"/>
        <w:jc w:val="both"/>
        <w:rPr>
          <w:lang w:val="en-GB"/>
        </w:rPr>
      </w:pPr>
    </w:p>
    <w:p w14:paraId="110916CE" w14:textId="4D199106" w:rsidR="007655E6" w:rsidRDefault="001010B3" w:rsidP="002F76CA">
      <w:pPr>
        <w:pStyle w:val="Paragraphedeliste"/>
        <w:ind w:left="0"/>
        <w:jc w:val="both"/>
        <w:rPr>
          <w:lang w:val="en-GB"/>
        </w:rPr>
      </w:pPr>
      <w:r w:rsidRPr="001010B3">
        <w:rPr>
          <w:b/>
          <w:u w:val="single"/>
          <w:lang w:val="en-GB"/>
        </w:rPr>
        <w:t>Ongoing discussions:</w:t>
      </w:r>
      <w:r>
        <w:rPr>
          <w:b/>
          <w:u w:val="single"/>
          <w:lang w:val="en-GB"/>
        </w:rPr>
        <w:t xml:space="preserve"> </w:t>
      </w:r>
      <w:r w:rsidR="0084358D">
        <w:rPr>
          <w:lang w:val="en-GB"/>
        </w:rPr>
        <w:t>The</w:t>
      </w:r>
      <w:r w:rsidR="00843272">
        <w:rPr>
          <w:lang w:val="en-GB"/>
        </w:rPr>
        <w:t xml:space="preserve"> Commission is investigating the possibility to lower the CrVI migration limits as recommended in a SCHEER opinion.</w:t>
      </w:r>
    </w:p>
    <w:p w14:paraId="7B62BE0B" w14:textId="3C6B9F7C" w:rsidR="002F76CA" w:rsidRPr="002F76CA" w:rsidRDefault="002F76CA" w:rsidP="002F76CA">
      <w:pPr>
        <w:shd w:val="clear" w:color="auto" w:fill="E5B8B7" w:themeFill="accent2" w:themeFillTint="66"/>
        <w:rPr>
          <w:b/>
          <w:bCs/>
          <w:sz w:val="20"/>
          <w:szCs w:val="20"/>
          <w:u w:val="single"/>
          <w:lang w:val="en-GB"/>
        </w:rPr>
      </w:pPr>
      <w:r w:rsidRPr="002F76CA">
        <w:rPr>
          <w:b/>
          <w:bCs/>
          <w:sz w:val="20"/>
          <w:szCs w:val="20"/>
          <w:u w:val="single"/>
          <w:lang w:val="en-GB"/>
        </w:rPr>
        <w:t>Fragrances:</w:t>
      </w:r>
    </w:p>
    <w:p w14:paraId="07D21EB5" w14:textId="7EB1BB83" w:rsidR="002F76CA" w:rsidRPr="002F76CA" w:rsidRDefault="002F76CA" w:rsidP="002F76CA">
      <w:pPr>
        <w:jc w:val="both"/>
        <w:rPr>
          <w:sz w:val="20"/>
          <w:szCs w:val="20"/>
          <w:lang w:val="en-GB"/>
        </w:rPr>
      </w:pPr>
      <w:r w:rsidRPr="002F76CA">
        <w:rPr>
          <w:rFonts w:ascii="Calibri" w:eastAsia="Times New Roman" w:hAnsi="Calibri"/>
          <w:color w:val="303030"/>
          <w:lang w:val="en-GB"/>
        </w:rPr>
        <w:t xml:space="preserve">In December 2020, two Directives amending the TSD on fragrances were published in the EU’s Official with changes to be applied from July 5, 2022. The new rules extend the list of 55 </w:t>
      </w:r>
      <w:hyperlink r:id="rId23" w:history="1">
        <w:r w:rsidRPr="002F76CA">
          <w:rPr>
            <w:rStyle w:val="Lienhypertexte"/>
            <w:rFonts w:ascii="Calibri" w:eastAsia="Times New Roman" w:hAnsi="Calibri"/>
            <w:lang w:val="en-GB"/>
          </w:rPr>
          <w:t>banned</w:t>
        </w:r>
      </w:hyperlink>
      <w:r w:rsidRPr="002F76CA">
        <w:rPr>
          <w:rFonts w:ascii="Calibri" w:eastAsia="Times New Roman" w:hAnsi="Calibri"/>
          <w:color w:val="303030"/>
          <w:lang w:val="en-GB"/>
        </w:rPr>
        <w:t xml:space="preserve"> fragrances with atranol, chloroatranol and methyl heptine carbonate in toys and toy materials. They also require that 61 </w:t>
      </w:r>
      <w:hyperlink r:id="rId24" w:history="1">
        <w:r w:rsidRPr="002F76CA">
          <w:rPr>
            <w:rStyle w:val="Lienhypertexte"/>
            <w:rFonts w:ascii="Calibri" w:eastAsia="Times New Roman" w:hAnsi="Calibri"/>
            <w:lang w:val="en-GB"/>
          </w:rPr>
          <w:t>further allergenic</w:t>
        </w:r>
      </w:hyperlink>
      <w:r w:rsidRPr="002F76CA">
        <w:rPr>
          <w:rFonts w:ascii="Calibri" w:eastAsia="Times New Roman" w:hAnsi="Calibri"/>
          <w:color w:val="303030"/>
          <w:lang w:val="en-GB"/>
        </w:rPr>
        <w:t xml:space="preserve"> fragrances in toys, if present at more than 100 mg/kg, have to be labelled on the toy, on an affixed label, on the packaging or in an accompanying leaflet.</w:t>
      </w:r>
    </w:p>
    <w:sectPr w:rsidR="002F76CA" w:rsidRPr="002F76CA" w:rsidSect="00B02251">
      <w:headerReference w:type="default" r:id="rId25"/>
      <w:footerReference w:type="default" r:id="rId26"/>
      <w:headerReference w:type="first" r:id="rId27"/>
      <w:footerReference w:type="first" r:id="rId28"/>
      <w:pgSz w:w="11906" w:h="16838"/>
      <w:pgMar w:top="1417" w:right="707" w:bottom="1417" w:left="709"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4E998" w14:textId="77777777" w:rsidR="00FC2288" w:rsidRDefault="00FC2288" w:rsidP="00725DE6">
      <w:pPr>
        <w:spacing w:after="0" w:line="240" w:lineRule="auto"/>
      </w:pPr>
      <w:r>
        <w:separator/>
      </w:r>
    </w:p>
  </w:endnote>
  <w:endnote w:type="continuationSeparator" w:id="0">
    <w:p w14:paraId="1DF276BC" w14:textId="77777777" w:rsidR="00FC2288" w:rsidRDefault="00FC2288" w:rsidP="00725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712656"/>
      <w:docPartObj>
        <w:docPartGallery w:val="Page Numbers (Bottom of Page)"/>
        <w:docPartUnique/>
      </w:docPartObj>
    </w:sdtPr>
    <w:sdtEndPr>
      <w:rPr>
        <w:color w:val="7F7F7F" w:themeColor="background1" w:themeShade="7F"/>
        <w:spacing w:val="60"/>
      </w:rPr>
    </w:sdtEndPr>
    <w:sdtContent>
      <w:p w14:paraId="2C66611E" w14:textId="77777777" w:rsidR="00B02251" w:rsidRDefault="00B02251">
        <w:pPr>
          <w:pStyle w:val="Pieddepage"/>
          <w:pBdr>
            <w:top w:val="single" w:sz="4" w:space="1" w:color="D9D9D9" w:themeColor="background1" w:themeShade="D9"/>
          </w:pBdr>
          <w:jc w:val="right"/>
        </w:pPr>
        <w:r>
          <w:fldChar w:fldCharType="begin"/>
        </w:r>
        <w:r>
          <w:instrText xml:space="preserve"> PAGE   \* MERGEFORMAT </w:instrText>
        </w:r>
        <w:r>
          <w:fldChar w:fldCharType="separate"/>
        </w:r>
        <w:r w:rsidR="000146D4">
          <w:rPr>
            <w:noProof/>
          </w:rPr>
          <w:t>3</w:t>
        </w:r>
        <w:r>
          <w:rPr>
            <w:noProof/>
          </w:rPr>
          <w:fldChar w:fldCharType="end"/>
        </w:r>
        <w:r>
          <w:t xml:space="preserve"> | </w:t>
        </w:r>
        <w:r>
          <w:rPr>
            <w:color w:val="7F7F7F" w:themeColor="background1" w:themeShade="7F"/>
            <w:spacing w:val="60"/>
          </w:rPr>
          <w:t>Page</w:t>
        </w:r>
      </w:p>
    </w:sdtContent>
  </w:sdt>
  <w:p w14:paraId="6EA88A32" w14:textId="77777777" w:rsidR="00B02251" w:rsidRDefault="00B0225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927947"/>
      <w:docPartObj>
        <w:docPartGallery w:val="Page Numbers (Bottom of Page)"/>
        <w:docPartUnique/>
      </w:docPartObj>
    </w:sdtPr>
    <w:sdtEndPr>
      <w:rPr>
        <w:color w:val="7F7F7F" w:themeColor="background1" w:themeShade="7F"/>
        <w:spacing w:val="60"/>
      </w:rPr>
    </w:sdtEndPr>
    <w:sdtContent>
      <w:p w14:paraId="53572176" w14:textId="77777777" w:rsidR="00B02251" w:rsidRDefault="00B02251">
        <w:pPr>
          <w:pStyle w:val="Pieddepage"/>
          <w:pBdr>
            <w:top w:val="single" w:sz="4" w:space="1" w:color="D9D9D9" w:themeColor="background1" w:themeShade="D9"/>
          </w:pBdr>
          <w:jc w:val="right"/>
        </w:pPr>
        <w:r>
          <w:fldChar w:fldCharType="begin"/>
        </w:r>
        <w:r>
          <w:instrText xml:space="preserve"> PAGE   \* MERGEFORMAT </w:instrText>
        </w:r>
        <w:r>
          <w:fldChar w:fldCharType="separate"/>
        </w:r>
        <w:r w:rsidR="000146D4">
          <w:rPr>
            <w:noProof/>
          </w:rPr>
          <w:t>1</w:t>
        </w:r>
        <w:r>
          <w:rPr>
            <w:noProof/>
          </w:rPr>
          <w:fldChar w:fldCharType="end"/>
        </w:r>
        <w:r>
          <w:t xml:space="preserve"> | </w:t>
        </w:r>
        <w:r>
          <w:rPr>
            <w:color w:val="7F7F7F" w:themeColor="background1" w:themeShade="7F"/>
            <w:spacing w:val="60"/>
          </w:rPr>
          <w:t>Page</w:t>
        </w:r>
      </w:p>
    </w:sdtContent>
  </w:sdt>
  <w:p w14:paraId="50AB7FC9" w14:textId="77777777" w:rsidR="00B02251" w:rsidRDefault="00B0225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891E2" w14:textId="77777777" w:rsidR="00FC2288" w:rsidRDefault="00FC2288" w:rsidP="00725DE6">
      <w:pPr>
        <w:spacing w:after="0" w:line="240" w:lineRule="auto"/>
      </w:pPr>
      <w:r>
        <w:separator/>
      </w:r>
    </w:p>
  </w:footnote>
  <w:footnote w:type="continuationSeparator" w:id="0">
    <w:p w14:paraId="64B0EF7E" w14:textId="77777777" w:rsidR="00FC2288" w:rsidRDefault="00FC2288" w:rsidP="00725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78C5" w14:textId="77777777" w:rsidR="00B02251" w:rsidRPr="00CE40E9" w:rsidRDefault="00B02251" w:rsidP="00B02251">
    <w:pPr>
      <w:pStyle w:val="En-tte"/>
      <w:tabs>
        <w:tab w:val="center" w:pos="8647"/>
      </w:tabs>
      <w:rPr>
        <w:sz w:val="20"/>
        <w:szCs w:val="20"/>
      </w:rPr>
    </w:pPr>
    <w:r w:rsidRPr="00206616">
      <w:rPr>
        <w:rFonts w:ascii="Calibri" w:hAnsi="Calibri"/>
        <w:noProof/>
        <w:sz w:val="48"/>
        <w:szCs w:val="48"/>
        <w:lang w:eastAsia="fr-BE"/>
      </w:rPr>
      <w:drawing>
        <wp:inline distT="0" distB="0" distL="0" distR="0" wp14:anchorId="159E801F" wp14:editId="7CA5D450">
          <wp:extent cx="1135380" cy="497357"/>
          <wp:effectExtent l="0" t="0" r="7620" b="0"/>
          <wp:docPr id="7" name="Picture 7" descr="T:\Common\Communications\TIE logo\TIE logo - for printing\TI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mmon\Communications\TIE logo\TIE logo - for printing\TI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96" cy="505161"/>
                  </a:xfrm>
                  <a:prstGeom prst="rect">
                    <a:avLst/>
                  </a:prstGeom>
                  <a:noFill/>
                  <a:ln>
                    <a:noFill/>
                  </a:ln>
                </pic:spPr>
              </pic:pic>
            </a:graphicData>
          </a:graphic>
        </wp:inline>
      </w:drawing>
    </w:r>
  </w:p>
  <w:p w14:paraId="334606C4" w14:textId="77777777" w:rsidR="00B02251" w:rsidRDefault="00B0225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5F41B" w14:textId="77777777" w:rsidR="00B02251" w:rsidRPr="00CE40E9" w:rsidRDefault="00B02251" w:rsidP="00B02251">
    <w:pPr>
      <w:pStyle w:val="En-tte"/>
      <w:tabs>
        <w:tab w:val="center" w:pos="8647"/>
      </w:tabs>
      <w:jc w:val="center"/>
      <w:rPr>
        <w:sz w:val="20"/>
        <w:szCs w:val="20"/>
      </w:rPr>
    </w:pPr>
    <w:r w:rsidRPr="00206616">
      <w:rPr>
        <w:rFonts w:ascii="Calibri" w:hAnsi="Calibri"/>
        <w:noProof/>
        <w:sz w:val="48"/>
        <w:szCs w:val="48"/>
        <w:lang w:eastAsia="fr-BE"/>
      </w:rPr>
      <w:drawing>
        <wp:inline distT="0" distB="0" distL="0" distR="0" wp14:anchorId="00CF03F7" wp14:editId="20D7DACC">
          <wp:extent cx="1722120" cy="754380"/>
          <wp:effectExtent l="0" t="0" r="0" b="7620"/>
          <wp:docPr id="8" name="Picture 8" descr="T:\Common\Communications\TIE logo\TIE logo - for printing\TI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mmon\Communications\TIE logo\TIE logo - for printing\TI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754380"/>
                  </a:xfrm>
                  <a:prstGeom prst="rect">
                    <a:avLst/>
                  </a:prstGeom>
                  <a:noFill/>
                  <a:ln>
                    <a:noFill/>
                  </a:ln>
                </pic:spPr>
              </pic:pic>
            </a:graphicData>
          </a:graphic>
        </wp:inline>
      </w:drawing>
    </w:r>
  </w:p>
  <w:p w14:paraId="7F529110" w14:textId="77777777" w:rsidR="00B02251" w:rsidRDefault="00B0225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96F0B"/>
    <w:multiLevelType w:val="hybridMultilevel"/>
    <w:tmpl w:val="B1E06B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D263B54"/>
    <w:multiLevelType w:val="hybridMultilevel"/>
    <w:tmpl w:val="A7CA8F0C"/>
    <w:lvl w:ilvl="0" w:tplc="96142562">
      <w:start w:val="30"/>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2027EAD"/>
    <w:multiLevelType w:val="hybridMultilevel"/>
    <w:tmpl w:val="F43888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638099742">
    <w:abstractNumId w:val="0"/>
  </w:num>
  <w:num w:numId="2" w16cid:durableId="1202093775">
    <w:abstractNumId w:val="2"/>
  </w:num>
  <w:num w:numId="3" w16cid:durableId="244144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fr-BE" w:vendorID="64" w:dllVersion="6" w:nlCheck="1" w:checkStyle="1"/>
  <w:activeWritingStyle w:appName="MSWord" w:lang="en-GB" w:vendorID="64" w:dllVersion="4096" w:nlCheck="1" w:checkStyle="0"/>
  <w:activeWritingStyle w:appName="MSWord" w:lang="fr-BE" w:vendorID="64" w:dllVersion="4096" w:nlCheck="1" w:checkStyle="0"/>
  <w:activeWritingStyle w:appName="MSWord" w:lang="fr-BE" w:vendorID="64" w:dllVersion="0" w:nlCheck="1" w:checkStyle="0"/>
  <w:activeWritingStyle w:appName="MSWord" w:lang="en-GB" w:vendorID="64" w:dllVersion="0"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632"/>
    <w:rsid w:val="000146D4"/>
    <w:rsid w:val="0002171D"/>
    <w:rsid w:val="0004450B"/>
    <w:rsid w:val="000673AE"/>
    <w:rsid w:val="00075651"/>
    <w:rsid w:val="00093652"/>
    <w:rsid w:val="000B2AF5"/>
    <w:rsid w:val="000B3DD0"/>
    <w:rsid w:val="000D52A7"/>
    <w:rsid w:val="000E176A"/>
    <w:rsid w:val="001010B3"/>
    <w:rsid w:val="00107C35"/>
    <w:rsid w:val="00145E96"/>
    <w:rsid w:val="001763B9"/>
    <w:rsid w:val="00190D39"/>
    <w:rsid w:val="001B0423"/>
    <w:rsid w:val="0021009B"/>
    <w:rsid w:val="00253E1D"/>
    <w:rsid w:val="002A644E"/>
    <w:rsid w:val="002E5F70"/>
    <w:rsid w:val="002F07D7"/>
    <w:rsid w:val="002F76CA"/>
    <w:rsid w:val="003025C0"/>
    <w:rsid w:val="00343533"/>
    <w:rsid w:val="00351B01"/>
    <w:rsid w:val="00386A92"/>
    <w:rsid w:val="003A2CA0"/>
    <w:rsid w:val="003A2E98"/>
    <w:rsid w:val="003D3EB8"/>
    <w:rsid w:val="003E0810"/>
    <w:rsid w:val="00403B6B"/>
    <w:rsid w:val="00432C2A"/>
    <w:rsid w:val="004447EF"/>
    <w:rsid w:val="00445177"/>
    <w:rsid w:val="004574D7"/>
    <w:rsid w:val="004933BC"/>
    <w:rsid w:val="004C4031"/>
    <w:rsid w:val="004D1265"/>
    <w:rsid w:val="00503965"/>
    <w:rsid w:val="005329D9"/>
    <w:rsid w:val="005E41DE"/>
    <w:rsid w:val="00611C34"/>
    <w:rsid w:val="00621B9C"/>
    <w:rsid w:val="0066053B"/>
    <w:rsid w:val="00725DE6"/>
    <w:rsid w:val="00735888"/>
    <w:rsid w:val="00744729"/>
    <w:rsid w:val="00755578"/>
    <w:rsid w:val="00757101"/>
    <w:rsid w:val="007655E6"/>
    <w:rsid w:val="00786008"/>
    <w:rsid w:val="00803153"/>
    <w:rsid w:val="00806EEB"/>
    <w:rsid w:val="008075EA"/>
    <w:rsid w:val="008118FB"/>
    <w:rsid w:val="00830093"/>
    <w:rsid w:val="00843272"/>
    <w:rsid w:val="0084358D"/>
    <w:rsid w:val="00850AD6"/>
    <w:rsid w:val="008606F5"/>
    <w:rsid w:val="008E4BB4"/>
    <w:rsid w:val="008F45A1"/>
    <w:rsid w:val="00905086"/>
    <w:rsid w:val="00917FF7"/>
    <w:rsid w:val="009634C2"/>
    <w:rsid w:val="009774F5"/>
    <w:rsid w:val="00992449"/>
    <w:rsid w:val="009D15A4"/>
    <w:rsid w:val="009E1A41"/>
    <w:rsid w:val="009F592B"/>
    <w:rsid w:val="009F6522"/>
    <w:rsid w:val="00A0129C"/>
    <w:rsid w:val="00A14922"/>
    <w:rsid w:val="00A26845"/>
    <w:rsid w:val="00A31C6F"/>
    <w:rsid w:val="00A61383"/>
    <w:rsid w:val="00AA16AD"/>
    <w:rsid w:val="00AD5CE2"/>
    <w:rsid w:val="00AE33B6"/>
    <w:rsid w:val="00AF0EB3"/>
    <w:rsid w:val="00B02251"/>
    <w:rsid w:val="00B02CCE"/>
    <w:rsid w:val="00B11F4C"/>
    <w:rsid w:val="00B96DDD"/>
    <w:rsid w:val="00BB53B0"/>
    <w:rsid w:val="00C02512"/>
    <w:rsid w:val="00C578B3"/>
    <w:rsid w:val="00C72C09"/>
    <w:rsid w:val="00CD3670"/>
    <w:rsid w:val="00CD7BA2"/>
    <w:rsid w:val="00CD7D26"/>
    <w:rsid w:val="00D0766B"/>
    <w:rsid w:val="00D16463"/>
    <w:rsid w:val="00D465DB"/>
    <w:rsid w:val="00D82796"/>
    <w:rsid w:val="00DC72CD"/>
    <w:rsid w:val="00DD64D2"/>
    <w:rsid w:val="00E12844"/>
    <w:rsid w:val="00E22632"/>
    <w:rsid w:val="00E364F1"/>
    <w:rsid w:val="00E41FB9"/>
    <w:rsid w:val="00E426E7"/>
    <w:rsid w:val="00E65D9C"/>
    <w:rsid w:val="00EA06D6"/>
    <w:rsid w:val="00F115C1"/>
    <w:rsid w:val="00F165E1"/>
    <w:rsid w:val="00F20505"/>
    <w:rsid w:val="00F42E1A"/>
    <w:rsid w:val="00F43B68"/>
    <w:rsid w:val="00F72DEF"/>
    <w:rsid w:val="00F949F3"/>
    <w:rsid w:val="00FB5058"/>
    <w:rsid w:val="00FC2288"/>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431E9F"/>
  <w15:chartTrackingRefBased/>
  <w15:docId w15:val="{3905A29B-D437-411E-A76A-6A41FF28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22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D3670"/>
    <w:pPr>
      <w:ind w:left="720"/>
      <w:contextualSpacing/>
    </w:pPr>
  </w:style>
  <w:style w:type="character" w:styleId="Lienhypertexte">
    <w:name w:val="Hyperlink"/>
    <w:basedOn w:val="Policepardfaut"/>
    <w:uiPriority w:val="99"/>
    <w:unhideWhenUsed/>
    <w:rsid w:val="008075EA"/>
    <w:rPr>
      <w:color w:val="0000FF" w:themeColor="hyperlink"/>
      <w:u w:val="single"/>
    </w:rPr>
  </w:style>
  <w:style w:type="paragraph" w:customStyle="1" w:styleId="Default">
    <w:name w:val="Default"/>
    <w:rsid w:val="00E41FB9"/>
    <w:pPr>
      <w:autoSpaceDE w:val="0"/>
      <w:autoSpaceDN w:val="0"/>
      <w:adjustRightInd w:val="0"/>
      <w:spacing w:after="0" w:line="240" w:lineRule="auto"/>
    </w:pPr>
    <w:rPr>
      <w:rFonts w:ascii="EUAlbertina" w:hAnsi="EUAlbertina" w:cs="EUAlbertina"/>
      <w:color w:val="000000"/>
      <w:sz w:val="24"/>
      <w:szCs w:val="24"/>
    </w:rPr>
  </w:style>
  <w:style w:type="character" w:styleId="Lienhypertextesuivivisit">
    <w:name w:val="FollowedHyperlink"/>
    <w:basedOn w:val="Policepardfaut"/>
    <w:uiPriority w:val="99"/>
    <w:semiHidden/>
    <w:unhideWhenUsed/>
    <w:rsid w:val="00DC72CD"/>
    <w:rPr>
      <w:color w:val="800080" w:themeColor="followedHyperlink"/>
      <w:u w:val="single"/>
    </w:rPr>
  </w:style>
  <w:style w:type="paragraph" w:styleId="En-tte">
    <w:name w:val="header"/>
    <w:basedOn w:val="Normal"/>
    <w:link w:val="En-tteCar"/>
    <w:uiPriority w:val="99"/>
    <w:unhideWhenUsed/>
    <w:rsid w:val="00725DE6"/>
    <w:pPr>
      <w:tabs>
        <w:tab w:val="center" w:pos="4536"/>
        <w:tab w:val="right" w:pos="9072"/>
      </w:tabs>
      <w:spacing w:after="0" w:line="240" w:lineRule="auto"/>
    </w:pPr>
  </w:style>
  <w:style w:type="character" w:customStyle="1" w:styleId="En-tteCar">
    <w:name w:val="En-tête Car"/>
    <w:basedOn w:val="Policepardfaut"/>
    <w:link w:val="En-tte"/>
    <w:uiPriority w:val="99"/>
    <w:rsid w:val="00725DE6"/>
  </w:style>
  <w:style w:type="paragraph" w:styleId="Pieddepage">
    <w:name w:val="footer"/>
    <w:basedOn w:val="Normal"/>
    <w:link w:val="PieddepageCar"/>
    <w:uiPriority w:val="99"/>
    <w:unhideWhenUsed/>
    <w:rsid w:val="00725D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5DE6"/>
  </w:style>
  <w:style w:type="paragraph" w:styleId="Textedebulles">
    <w:name w:val="Balloon Text"/>
    <w:basedOn w:val="Normal"/>
    <w:link w:val="TextedebullesCar"/>
    <w:uiPriority w:val="99"/>
    <w:semiHidden/>
    <w:unhideWhenUsed/>
    <w:rsid w:val="009D15A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15A4"/>
    <w:rPr>
      <w:rFonts w:ascii="Segoe UI" w:hAnsi="Segoe UI" w:cs="Segoe UI"/>
      <w:sz w:val="18"/>
      <w:szCs w:val="18"/>
    </w:rPr>
  </w:style>
  <w:style w:type="character" w:styleId="Marquedecommentaire">
    <w:name w:val="annotation reference"/>
    <w:basedOn w:val="Policepardfaut"/>
    <w:uiPriority w:val="99"/>
    <w:semiHidden/>
    <w:unhideWhenUsed/>
    <w:rsid w:val="009D15A4"/>
    <w:rPr>
      <w:sz w:val="16"/>
      <w:szCs w:val="16"/>
    </w:rPr>
  </w:style>
  <w:style w:type="paragraph" w:styleId="Commentaire">
    <w:name w:val="annotation text"/>
    <w:basedOn w:val="Normal"/>
    <w:link w:val="CommentaireCar"/>
    <w:semiHidden/>
    <w:unhideWhenUsed/>
    <w:rsid w:val="009D15A4"/>
    <w:pPr>
      <w:spacing w:line="240" w:lineRule="auto"/>
    </w:pPr>
    <w:rPr>
      <w:sz w:val="20"/>
      <w:szCs w:val="20"/>
    </w:rPr>
  </w:style>
  <w:style w:type="character" w:customStyle="1" w:styleId="CommentaireCar">
    <w:name w:val="Commentaire Car"/>
    <w:basedOn w:val="Policepardfaut"/>
    <w:link w:val="Commentaire"/>
    <w:semiHidden/>
    <w:rsid w:val="009D15A4"/>
    <w:rPr>
      <w:sz w:val="20"/>
      <w:szCs w:val="20"/>
    </w:rPr>
  </w:style>
  <w:style w:type="paragraph" w:styleId="Objetducommentaire">
    <w:name w:val="annotation subject"/>
    <w:basedOn w:val="Commentaire"/>
    <w:next w:val="Commentaire"/>
    <w:link w:val="ObjetducommentaireCar"/>
    <w:uiPriority w:val="99"/>
    <w:semiHidden/>
    <w:unhideWhenUsed/>
    <w:rsid w:val="009D15A4"/>
    <w:rPr>
      <w:b/>
      <w:bCs/>
    </w:rPr>
  </w:style>
  <w:style w:type="character" w:customStyle="1" w:styleId="ObjetducommentaireCar">
    <w:name w:val="Objet du commentaire Car"/>
    <w:basedOn w:val="CommentaireCar"/>
    <w:link w:val="Objetducommentaire"/>
    <w:uiPriority w:val="99"/>
    <w:semiHidden/>
    <w:rsid w:val="009D15A4"/>
    <w:rPr>
      <w:b/>
      <w:bCs/>
      <w:sz w:val="20"/>
      <w:szCs w:val="20"/>
    </w:rPr>
  </w:style>
  <w:style w:type="character" w:styleId="Mentionnonrsolue">
    <w:name w:val="Unresolved Mention"/>
    <w:basedOn w:val="Policepardfaut"/>
    <w:uiPriority w:val="99"/>
    <w:semiHidden/>
    <w:unhideWhenUsed/>
    <w:rsid w:val="002100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406919">
      <w:bodyDiv w:val="1"/>
      <w:marLeft w:val="0"/>
      <w:marRight w:val="0"/>
      <w:marTop w:val="0"/>
      <w:marBottom w:val="0"/>
      <w:divBdr>
        <w:top w:val="none" w:sz="0" w:space="0" w:color="auto"/>
        <w:left w:val="none" w:sz="0" w:space="0" w:color="auto"/>
        <w:bottom w:val="none" w:sz="0" w:space="0" w:color="auto"/>
        <w:right w:val="none" w:sz="0" w:space="0" w:color="auto"/>
      </w:divBdr>
    </w:div>
    <w:div w:id="1870755012">
      <w:bodyDiv w:val="1"/>
      <w:marLeft w:val="0"/>
      <w:marRight w:val="0"/>
      <w:marTop w:val="0"/>
      <w:marBottom w:val="0"/>
      <w:divBdr>
        <w:top w:val="none" w:sz="0" w:space="0" w:color="auto"/>
        <w:left w:val="none" w:sz="0" w:space="0" w:color="auto"/>
        <w:bottom w:val="none" w:sz="0" w:space="0" w:color="auto"/>
        <w:right w:val="none" w:sz="0" w:space="0" w:color="auto"/>
      </w:divBdr>
    </w:div>
    <w:div w:id="201610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uri=uriserv%3AOJ.L_.2014.192.01.0049.01.ENG" TargetMode="External"/><Relationship Id="rId13" Type="http://schemas.openxmlformats.org/officeDocument/2006/relationships/hyperlink" Target="http://eur-lex.europa.eu/legal-content/EN/TXT/?uri=uriserv%3AOJ.L_.2015.306.01.0020.01.ENG" TargetMode="External"/><Relationship Id="rId18" Type="http://schemas.openxmlformats.org/officeDocument/2006/relationships/hyperlink" Target="http://eur-lex.europa.eu/legal-content/EN/TXT/?uri=CELEX%3A32013R068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ur-lex.europa.eu/legal-content/EN/TXT/?uri=uriserv:OJ.L_.2018.122.01.0029.01.ENG&amp;toc=OJ:L:2018:122:TOC" TargetMode="External"/><Relationship Id="rId7" Type="http://schemas.openxmlformats.org/officeDocument/2006/relationships/endnotes" Target="endnotes.xml"/><Relationship Id="rId12" Type="http://schemas.openxmlformats.org/officeDocument/2006/relationships/hyperlink" Target="http://eur-lex.europa.eu/legal-content/EN/TXT/?uri=uriserv%3AOJ.L_.2015.306.01.0017.01.ENG" TargetMode="External"/><Relationship Id="rId17" Type="http://schemas.openxmlformats.org/officeDocument/2006/relationships/hyperlink" Target="https://eur-lex.europa.eu/legal-content/EN/TXT/?uri=CELEX%3A32021L0903"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ur-lex.europa.eu/legal-content/EN/TXT/?uri=uriserv:OJ.L_.2019.299.01.0051.01.ENG&amp;toc=OJ:L:2019:299:TOC" TargetMode="External"/><Relationship Id="rId20" Type="http://schemas.openxmlformats.org/officeDocument/2006/relationships/hyperlink" Target="http://eur-lex.europa.eu/legal-content/EN/TXT/?uri=CELEX:32017L073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FR/TXT/?uri=celex%3A32014L0079" TargetMode="External"/><Relationship Id="rId24" Type="http://schemas.openxmlformats.org/officeDocument/2006/relationships/hyperlink" Target="https://eur-lex.europa.eu/legal-content/EN/TXT/?uri=uriserv%3AOJ.L_.2020.423.01.0053.01.ENG&amp;toc=OJ%3AL%3A2020%3A423%3ATOC" TargetMode="External"/><Relationship Id="rId5" Type="http://schemas.openxmlformats.org/officeDocument/2006/relationships/webSettings" Target="webSettings.xml"/><Relationship Id="rId15" Type="http://schemas.openxmlformats.org/officeDocument/2006/relationships/hyperlink" Target="http://eur-lex.europa.eu/legal-content/EN/TXT/?uri=uriserv:OJ.L_.2017.115.01.0047.01.ENG&amp;toc=OJ:L:2017:115:TOC" TargetMode="External"/><Relationship Id="rId23" Type="http://schemas.openxmlformats.org/officeDocument/2006/relationships/hyperlink" Target="https://eur-lex.europa.eu/legal-content/EN/TXT/?uri=uriserv%3AOJ.L_.2020.423.01.0058.01.ENG&amp;toc=OJ%3AL%3A2020%3A423%3ATOC" TargetMode="External"/><Relationship Id="rId28" Type="http://schemas.openxmlformats.org/officeDocument/2006/relationships/footer" Target="footer2.xml"/><Relationship Id="rId10" Type="http://schemas.openxmlformats.org/officeDocument/2006/relationships/hyperlink" Target="http://eur-lex.europa.eu/legal-content/EN/TXT/?qid=1496040330204&amp;uri=CELEX:32017L0898" TargetMode="External"/><Relationship Id="rId19" Type="http://schemas.openxmlformats.org/officeDocument/2006/relationships/hyperlink" Target="http://eur-lex.europa.eu/legal-content/EN/ALL/?uri=CELEX%3A32012L0007" TargetMode="External"/><Relationship Id="rId4" Type="http://schemas.openxmlformats.org/officeDocument/2006/relationships/settings" Target="settings.xml"/><Relationship Id="rId9" Type="http://schemas.openxmlformats.org/officeDocument/2006/relationships/hyperlink" Target="http://eur-lex.europa.eu/legal-content/EN/TXT/?uri=CELEX%3A32014L0081" TargetMode="External"/><Relationship Id="rId14" Type="http://schemas.openxmlformats.org/officeDocument/2006/relationships/hyperlink" Target="http://eur-lex.europa.eu/legal-content/EN/TXT/?uri=uriserv%3AOJ.L_.2015.306.01.0023.01.ENG" TargetMode="External"/><Relationship Id="rId22" Type="http://schemas.openxmlformats.org/officeDocument/2006/relationships/hyperlink" Target="https://eur-lex.europa.eu/legal-content/EN/TXT/?uri=uriserv:OJ.L_.2019.298.01.0005.01.ENG&amp;toc=OJ:L:2019:298:TOC"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D46D1-042C-4735-9872-4DF364E4D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1239</Words>
  <Characters>6818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dc:creator>
  <cp:keywords/>
  <dc:description/>
  <cp:lastModifiedBy>Dominique Billeret -TIE</cp:lastModifiedBy>
  <cp:revision>5</cp:revision>
  <cp:lastPrinted>2021-01-08T09:34:00Z</cp:lastPrinted>
  <dcterms:created xsi:type="dcterms:W3CDTF">2023-07-11T08:45:00Z</dcterms:created>
  <dcterms:modified xsi:type="dcterms:W3CDTF">2023-07-11T08:47:00Z</dcterms:modified>
</cp:coreProperties>
</file>